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A9B4E">
      <w:pPr>
        <w:spacing w:beforeLines="0" w:afterLines="0" w:line="560" w:lineRule="exact"/>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w:t>
      </w:r>
    </w:p>
    <w:p w14:paraId="4D57C7A6">
      <w:pPr>
        <w:pStyle w:val="2"/>
        <w:keepNext w:val="0"/>
        <w:keepLines w:val="0"/>
        <w:pageBreakBefore w:val="0"/>
        <w:widowControl w:val="0"/>
        <w:kinsoku/>
        <w:wordWrap/>
        <w:overflowPunct/>
        <w:topLinePunct w:val="0"/>
        <w:autoSpaceDE/>
        <w:autoSpaceDN/>
        <w:bidi w:val="0"/>
        <w:adjustRightInd/>
        <w:snapToGrid/>
        <w:spacing w:beforeLines="0" w:after="313" w:afterLines="100" w:line="560" w:lineRule="exact"/>
        <w:jc w:val="center"/>
        <w:textAlignment w:val="auto"/>
        <w:outlineLvl w:val="0"/>
        <w:rPr>
          <w:rFonts w:hint="eastAsia" w:ascii="宋体" w:hAnsi="宋体" w:eastAsia="方正小标宋简体" w:cs="方正小标宋简体"/>
          <w:i w:val="0"/>
          <w:iCs w:val="0"/>
          <w:color w:val="auto"/>
          <w:kern w:val="0"/>
          <w:sz w:val="44"/>
          <w:szCs w:val="44"/>
          <w:highlight w:val="none"/>
          <w:u w:val="none"/>
          <w:lang w:val="en-US" w:eastAsia="zh-CN" w:bidi="ar"/>
        </w:rPr>
      </w:pPr>
      <w:bookmarkStart w:id="0" w:name="_GoBack"/>
      <w:r>
        <w:rPr>
          <w:rFonts w:hint="eastAsia" w:ascii="宋体" w:hAnsi="宋体" w:eastAsia="方正小标宋简体" w:cs="方正小标宋简体"/>
          <w:i w:val="0"/>
          <w:iCs w:val="0"/>
          <w:color w:val="auto"/>
          <w:kern w:val="0"/>
          <w:sz w:val="44"/>
          <w:szCs w:val="44"/>
          <w:highlight w:val="none"/>
          <w:u w:val="none"/>
          <w:lang w:val="en-US" w:eastAsia="zh-CN" w:bidi="ar"/>
        </w:rPr>
        <w:t>2026年度市级科技计划项目（赣南科学院科技专项）</w:t>
      </w:r>
    </w:p>
    <w:p w14:paraId="2404741E">
      <w:pPr>
        <w:pStyle w:val="2"/>
        <w:keepNext w:val="0"/>
        <w:keepLines w:val="0"/>
        <w:pageBreakBefore w:val="0"/>
        <w:widowControl w:val="0"/>
        <w:kinsoku/>
        <w:wordWrap/>
        <w:overflowPunct/>
        <w:topLinePunct w:val="0"/>
        <w:autoSpaceDE/>
        <w:autoSpaceDN/>
        <w:bidi w:val="0"/>
        <w:adjustRightInd/>
        <w:snapToGrid/>
        <w:spacing w:beforeLines="0" w:after="313" w:afterLines="100" w:line="560" w:lineRule="exact"/>
        <w:jc w:val="center"/>
        <w:textAlignment w:val="auto"/>
        <w:outlineLvl w:val="0"/>
        <w:rPr>
          <w:rFonts w:hint="eastAsia" w:ascii="宋体" w:hAnsi="宋体" w:eastAsia="方正小标宋简体" w:cs="方正小标宋简体"/>
          <w:i w:val="0"/>
          <w:iCs w:val="0"/>
          <w:color w:val="FF0000"/>
          <w:kern w:val="0"/>
          <w:sz w:val="44"/>
          <w:szCs w:val="44"/>
          <w:highlight w:val="none"/>
          <w:u w:val="none"/>
          <w:lang w:val="en-US" w:eastAsia="zh-CN" w:bidi="ar"/>
        </w:rPr>
      </w:pPr>
      <w:r>
        <w:rPr>
          <w:rFonts w:hint="eastAsia" w:ascii="宋体" w:hAnsi="宋体" w:eastAsia="方正小标宋简体" w:cs="方正小标宋简体"/>
          <w:i w:val="0"/>
          <w:iCs w:val="0"/>
          <w:color w:val="auto"/>
          <w:kern w:val="0"/>
          <w:sz w:val="44"/>
          <w:szCs w:val="44"/>
          <w:highlight w:val="none"/>
          <w:u w:val="none"/>
          <w:lang w:val="en-US" w:eastAsia="zh-CN" w:bidi="ar"/>
        </w:rPr>
        <w:t>拟立项项目汇总表</w:t>
      </w:r>
      <w:bookmarkEnd w:id="0"/>
    </w:p>
    <w:tbl>
      <w:tblPr>
        <w:tblStyle w:val="5"/>
        <w:tblW w:w="13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5"/>
        <w:gridCol w:w="1969"/>
        <w:gridCol w:w="4493"/>
        <w:gridCol w:w="2538"/>
        <w:gridCol w:w="1819"/>
        <w:gridCol w:w="2227"/>
      </w:tblGrid>
      <w:tr w14:paraId="10C9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blHeader/>
          <w:jc w:val="center"/>
        </w:trPr>
        <w:tc>
          <w:tcPr>
            <w:tcW w:w="915" w:type="dxa"/>
            <w:noWrap w:val="0"/>
            <w:vAlign w:val="center"/>
          </w:tcPr>
          <w:p w14:paraId="169691E5">
            <w:pPr>
              <w:jc w:val="center"/>
              <w:rPr>
                <w:rFonts w:hint="eastAsia" w:ascii="国标宋体-GB/T 2312" w:hAnsi="国标宋体-GB/T 2312" w:eastAsia="仿宋_GB2312"/>
                <w:b/>
                <w:bCs/>
                <w:color w:val="auto"/>
                <w:sz w:val="21"/>
                <w:highlight w:val="none"/>
                <w:lang w:val="en-US" w:eastAsia="zh-CN"/>
              </w:rPr>
            </w:pPr>
            <w:r>
              <w:rPr>
                <w:rFonts w:hint="eastAsia" w:ascii="国标宋体-GB/T 2312" w:hAnsi="国标宋体-GB/T 2312" w:eastAsia="仿宋_GB2312"/>
                <w:b/>
                <w:bCs/>
                <w:color w:val="auto"/>
                <w:sz w:val="21"/>
                <w:highlight w:val="none"/>
                <w:lang w:val="en-US" w:eastAsia="zh-CN"/>
              </w:rPr>
              <w:t>序号</w:t>
            </w:r>
          </w:p>
        </w:tc>
        <w:tc>
          <w:tcPr>
            <w:tcW w:w="1969" w:type="dxa"/>
            <w:noWrap w:val="0"/>
            <w:vAlign w:val="center"/>
          </w:tcPr>
          <w:p w14:paraId="2CB006A1">
            <w:pPr>
              <w:jc w:val="center"/>
              <w:rPr>
                <w:rFonts w:hint="eastAsia" w:ascii="国标宋体-GB/T 2312" w:hAnsi="国标宋体-GB/T 2312" w:eastAsia="仿宋_GB2312"/>
                <w:b/>
                <w:bCs/>
                <w:color w:val="auto"/>
                <w:sz w:val="21"/>
                <w:highlight w:val="none"/>
                <w:lang w:val="en-US" w:eastAsia="zh-CN"/>
              </w:rPr>
            </w:pPr>
            <w:r>
              <w:rPr>
                <w:rFonts w:hint="eastAsia" w:ascii="国标宋体-GB/T 2312" w:hAnsi="国标宋体-GB/T 2312" w:eastAsia="仿宋_GB2312"/>
                <w:b/>
                <w:bCs/>
                <w:color w:val="auto"/>
                <w:sz w:val="21"/>
                <w:highlight w:val="none"/>
                <w:lang w:val="en-US" w:eastAsia="zh-CN"/>
              </w:rPr>
              <w:t>项目类别</w:t>
            </w:r>
          </w:p>
        </w:tc>
        <w:tc>
          <w:tcPr>
            <w:tcW w:w="4493" w:type="dxa"/>
            <w:noWrap w:val="0"/>
            <w:vAlign w:val="center"/>
          </w:tcPr>
          <w:p w14:paraId="0FB06927">
            <w:pPr>
              <w:jc w:val="center"/>
              <w:rPr>
                <w:rFonts w:hint="eastAsia" w:ascii="国标宋体-GB/T 2312" w:hAnsi="国标宋体-GB/T 2312" w:eastAsia="仿宋_GB2312"/>
                <w:b/>
                <w:bCs/>
                <w:color w:val="auto"/>
                <w:sz w:val="21"/>
                <w:highlight w:val="none"/>
                <w:lang w:val="en-US" w:eastAsia="zh-CN"/>
              </w:rPr>
            </w:pPr>
            <w:r>
              <w:rPr>
                <w:rFonts w:hint="eastAsia" w:ascii="国标宋体-GB/T 2312" w:hAnsi="国标宋体-GB/T 2312" w:eastAsia="仿宋_GB2312"/>
                <w:b/>
                <w:bCs/>
                <w:color w:val="auto"/>
                <w:sz w:val="21"/>
                <w:highlight w:val="none"/>
                <w:lang w:val="en-US" w:eastAsia="zh-CN"/>
              </w:rPr>
              <w:t>项目名称</w:t>
            </w:r>
          </w:p>
        </w:tc>
        <w:tc>
          <w:tcPr>
            <w:tcW w:w="2538" w:type="dxa"/>
            <w:noWrap w:val="0"/>
            <w:vAlign w:val="center"/>
          </w:tcPr>
          <w:p w14:paraId="07037AE2">
            <w:pPr>
              <w:jc w:val="center"/>
              <w:rPr>
                <w:rFonts w:hint="eastAsia" w:ascii="国标宋体-GB/T 2312" w:hAnsi="国标宋体-GB/T 2312" w:eastAsia="仿宋_GB2312"/>
                <w:b/>
                <w:bCs/>
                <w:color w:val="auto"/>
                <w:sz w:val="21"/>
                <w:highlight w:val="none"/>
                <w:lang w:val="en-US" w:eastAsia="zh-CN"/>
              </w:rPr>
            </w:pPr>
            <w:r>
              <w:rPr>
                <w:rFonts w:hint="eastAsia" w:ascii="国标宋体-GB/T 2312" w:hAnsi="国标宋体-GB/T 2312" w:eastAsia="仿宋_GB2312"/>
                <w:b/>
                <w:bCs/>
                <w:color w:val="auto"/>
                <w:sz w:val="21"/>
                <w:highlight w:val="none"/>
                <w:lang w:val="en-US" w:eastAsia="zh-CN"/>
              </w:rPr>
              <w:t>申报单位</w:t>
            </w:r>
          </w:p>
        </w:tc>
        <w:tc>
          <w:tcPr>
            <w:tcW w:w="1819" w:type="dxa"/>
            <w:noWrap w:val="0"/>
            <w:vAlign w:val="center"/>
          </w:tcPr>
          <w:p w14:paraId="08F6364B">
            <w:pPr>
              <w:jc w:val="center"/>
              <w:rPr>
                <w:rFonts w:hint="eastAsia" w:ascii="国标宋体-GB/T 2312" w:hAnsi="国标宋体-GB/T 2312" w:eastAsia="仿宋_GB2312"/>
                <w:b/>
                <w:bCs/>
                <w:color w:val="auto"/>
                <w:sz w:val="21"/>
                <w:highlight w:val="none"/>
                <w:lang w:val="en-US" w:eastAsia="zh-CN"/>
              </w:rPr>
            </w:pPr>
            <w:r>
              <w:rPr>
                <w:rFonts w:hint="eastAsia" w:ascii="国标宋体-GB/T 2312" w:hAnsi="国标宋体-GB/T 2312" w:eastAsia="仿宋_GB2312"/>
                <w:b/>
                <w:bCs/>
                <w:color w:val="auto"/>
                <w:sz w:val="21"/>
                <w:highlight w:val="none"/>
                <w:lang w:val="en-US" w:eastAsia="zh-CN"/>
              </w:rPr>
              <w:t>申报人</w:t>
            </w:r>
          </w:p>
        </w:tc>
        <w:tc>
          <w:tcPr>
            <w:tcW w:w="2227" w:type="dxa"/>
            <w:noWrap w:val="0"/>
            <w:vAlign w:val="center"/>
          </w:tcPr>
          <w:p w14:paraId="76158640">
            <w:pPr>
              <w:jc w:val="center"/>
              <w:rPr>
                <w:rFonts w:hint="eastAsia" w:ascii="国标宋体-GB/T 2312" w:hAnsi="国标宋体-GB/T 2312" w:eastAsia="仿宋_GB2312"/>
                <w:b/>
                <w:bCs/>
                <w:color w:val="auto"/>
                <w:sz w:val="21"/>
                <w:highlight w:val="none"/>
                <w:lang w:val="en-US" w:eastAsia="zh-CN"/>
              </w:rPr>
            </w:pPr>
            <w:r>
              <w:rPr>
                <w:rFonts w:hint="eastAsia" w:ascii="国标宋体-GB/T 2312" w:hAnsi="国标宋体-GB/T 2312" w:eastAsia="仿宋_GB2312"/>
                <w:b/>
                <w:bCs/>
                <w:color w:val="auto"/>
                <w:sz w:val="21"/>
                <w:highlight w:val="none"/>
                <w:lang w:val="en-US" w:eastAsia="zh-CN"/>
              </w:rPr>
              <w:t>拟立项资金（万元）</w:t>
            </w:r>
          </w:p>
        </w:tc>
      </w:tr>
      <w:tr w14:paraId="1273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402DC586">
            <w:pPr>
              <w:jc w:val="center"/>
              <w:rPr>
                <w:rFonts w:hint="default"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1</w:t>
            </w:r>
          </w:p>
        </w:tc>
        <w:tc>
          <w:tcPr>
            <w:tcW w:w="1969" w:type="dxa"/>
            <w:vMerge w:val="restart"/>
            <w:noWrap w:val="0"/>
            <w:vAlign w:val="center"/>
          </w:tcPr>
          <w:p w14:paraId="20A7B353">
            <w:pPr>
              <w:jc w:val="center"/>
              <w:rPr>
                <w:color w:val="auto"/>
                <w:highlight w:val="none"/>
                <w:vertAlign w:val="baseline"/>
              </w:rPr>
            </w:pPr>
            <w:r>
              <w:rPr>
                <w:rFonts w:hint="eastAsia" w:ascii="国标宋体-GB/T 2312" w:hAnsi="国标宋体-GB/T 2312" w:eastAsia="仿宋_GB2312"/>
                <w:color w:val="auto"/>
                <w:sz w:val="21"/>
                <w:highlight w:val="none"/>
                <w:lang w:val="en-US" w:eastAsia="zh-CN"/>
              </w:rPr>
              <w:t>重大科技专项</w:t>
            </w:r>
          </w:p>
        </w:tc>
        <w:tc>
          <w:tcPr>
            <w:tcW w:w="4493" w:type="dxa"/>
            <w:noWrap w:val="0"/>
            <w:vAlign w:val="center"/>
          </w:tcPr>
          <w:p w14:paraId="7C01B890">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设施茄果类蔬菜土传病害功能型生防菌株的挖掘与应用</w:t>
            </w:r>
          </w:p>
        </w:tc>
        <w:tc>
          <w:tcPr>
            <w:tcW w:w="2538" w:type="dxa"/>
            <w:noWrap w:val="0"/>
            <w:vAlign w:val="center"/>
          </w:tcPr>
          <w:p w14:paraId="236B00A7">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赣州市蔬菜花卉研究所</w:t>
            </w:r>
          </w:p>
        </w:tc>
        <w:tc>
          <w:tcPr>
            <w:tcW w:w="1819" w:type="dxa"/>
            <w:noWrap w:val="0"/>
            <w:vAlign w:val="center"/>
          </w:tcPr>
          <w:p w14:paraId="0FBCE6C0">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熊春晖</w:t>
            </w:r>
          </w:p>
        </w:tc>
        <w:tc>
          <w:tcPr>
            <w:tcW w:w="2227" w:type="dxa"/>
            <w:noWrap w:val="0"/>
            <w:vAlign w:val="center"/>
          </w:tcPr>
          <w:p w14:paraId="5F11D1C1">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100</w:t>
            </w:r>
          </w:p>
        </w:tc>
      </w:tr>
      <w:tr w14:paraId="6E8C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5844F990">
            <w:pPr>
              <w:jc w:val="center"/>
              <w:rPr>
                <w:rFonts w:hint="default"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2</w:t>
            </w:r>
          </w:p>
        </w:tc>
        <w:tc>
          <w:tcPr>
            <w:tcW w:w="1969" w:type="dxa"/>
            <w:vMerge w:val="continue"/>
            <w:noWrap w:val="0"/>
            <w:vAlign w:val="center"/>
          </w:tcPr>
          <w:p w14:paraId="700052FA">
            <w:pPr>
              <w:jc w:val="center"/>
              <w:rPr>
                <w:color w:val="auto"/>
                <w:highlight w:val="none"/>
                <w:vertAlign w:val="baseline"/>
              </w:rPr>
            </w:pPr>
          </w:p>
        </w:tc>
        <w:tc>
          <w:tcPr>
            <w:tcW w:w="4493" w:type="dxa"/>
            <w:noWrap w:val="0"/>
            <w:vAlign w:val="center"/>
          </w:tcPr>
          <w:p w14:paraId="46C8DB07">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赣中南肉牛低碳养殖关键技术研究与应用</w:t>
            </w:r>
          </w:p>
        </w:tc>
        <w:tc>
          <w:tcPr>
            <w:tcW w:w="2538" w:type="dxa"/>
            <w:noWrap w:val="0"/>
            <w:vAlign w:val="center"/>
          </w:tcPr>
          <w:p w14:paraId="516283A7">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赣州市畜牧水产研究所</w:t>
            </w:r>
          </w:p>
        </w:tc>
        <w:tc>
          <w:tcPr>
            <w:tcW w:w="1819" w:type="dxa"/>
            <w:noWrap w:val="0"/>
            <w:vAlign w:val="center"/>
          </w:tcPr>
          <w:p w14:paraId="4D5C791E">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陈荣强</w:t>
            </w:r>
          </w:p>
        </w:tc>
        <w:tc>
          <w:tcPr>
            <w:tcW w:w="2227" w:type="dxa"/>
            <w:noWrap w:val="0"/>
            <w:vAlign w:val="center"/>
          </w:tcPr>
          <w:p w14:paraId="61B6E5E0">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80</w:t>
            </w:r>
          </w:p>
        </w:tc>
      </w:tr>
      <w:tr w14:paraId="6262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 w:type="dxa"/>
            <w:noWrap w:val="0"/>
            <w:vAlign w:val="center"/>
          </w:tcPr>
          <w:p w14:paraId="3BA2CC9D">
            <w:pPr>
              <w:jc w:val="center"/>
              <w:rPr>
                <w:rFonts w:hint="default"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3</w:t>
            </w:r>
          </w:p>
        </w:tc>
        <w:tc>
          <w:tcPr>
            <w:tcW w:w="1969" w:type="dxa"/>
            <w:vMerge w:val="continue"/>
            <w:noWrap w:val="0"/>
            <w:vAlign w:val="center"/>
          </w:tcPr>
          <w:p w14:paraId="73824E11">
            <w:pPr>
              <w:jc w:val="center"/>
              <w:rPr>
                <w:color w:val="auto"/>
                <w:highlight w:val="none"/>
                <w:vertAlign w:val="baseline"/>
              </w:rPr>
            </w:pPr>
          </w:p>
        </w:tc>
        <w:tc>
          <w:tcPr>
            <w:tcW w:w="4493" w:type="dxa"/>
            <w:noWrap w:val="0"/>
            <w:vAlign w:val="center"/>
          </w:tcPr>
          <w:p w14:paraId="02109D76">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再生稻绿色超高产种质创制及量质协同关键技术研发与集成示范</w:t>
            </w:r>
          </w:p>
        </w:tc>
        <w:tc>
          <w:tcPr>
            <w:tcW w:w="2538" w:type="dxa"/>
            <w:noWrap w:val="0"/>
            <w:vAlign w:val="center"/>
          </w:tcPr>
          <w:p w14:paraId="0B19C2FE">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赣州市农业科学研究所</w:t>
            </w:r>
          </w:p>
        </w:tc>
        <w:tc>
          <w:tcPr>
            <w:tcW w:w="1819" w:type="dxa"/>
            <w:noWrap w:val="0"/>
            <w:vAlign w:val="center"/>
          </w:tcPr>
          <w:p w14:paraId="7ECC7331">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刘小全</w:t>
            </w:r>
          </w:p>
        </w:tc>
        <w:tc>
          <w:tcPr>
            <w:tcW w:w="2227" w:type="dxa"/>
            <w:noWrap w:val="0"/>
            <w:vAlign w:val="center"/>
          </w:tcPr>
          <w:p w14:paraId="37047952">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100</w:t>
            </w:r>
          </w:p>
        </w:tc>
      </w:tr>
      <w:tr w14:paraId="685E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4B9918AE">
            <w:pPr>
              <w:jc w:val="center"/>
              <w:rPr>
                <w:rFonts w:hint="default"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4</w:t>
            </w:r>
          </w:p>
        </w:tc>
        <w:tc>
          <w:tcPr>
            <w:tcW w:w="1969" w:type="dxa"/>
            <w:vMerge w:val="continue"/>
            <w:noWrap w:val="0"/>
            <w:vAlign w:val="center"/>
          </w:tcPr>
          <w:p w14:paraId="45D96F39">
            <w:pPr>
              <w:jc w:val="center"/>
              <w:rPr>
                <w:color w:val="auto"/>
                <w:highlight w:val="none"/>
                <w:vertAlign w:val="baseline"/>
              </w:rPr>
            </w:pPr>
          </w:p>
        </w:tc>
        <w:tc>
          <w:tcPr>
            <w:tcW w:w="4493" w:type="dxa"/>
            <w:noWrap w:val="0"/>
            <w:vAlign w:val="center"/>
          </w:tcPr>
          <w:p w14:paraId="38CE0535">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柑橘黄龙病防控技术大田研究区的建立与应用</w:t>
            </w:r>
          </w:p>
        </w:tc>
        <w:tc>
          <w:tcPr>
            <w:tcW w:w="2538" w:type="dxa"/>
            <w:noWrap w:val="0"/>
            <w:vAlign w:val="center"/>
          </w:tcPr>
          <w:p w14:paraId="3DF32F31">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赣州市柑桔科学研究所</w:t>
            </w:r>
          </w:p>
        </w:tc>
        <w:tc>
          <w:tcPr>
            <w:tcW w:w="1819" w:type="dxa"/>
            <w:noWrap w:val="0"/>
            <w:vAlign w:val="center"/>
          </w:tcPr>
          <w:p w14:paraId="5D926EAA">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夏长秀</w:t>
            </w:r>
          </w:p>
        </w:tc>
        <w:tc>
          <w:tcPr>
            <w:tcW w:w="2227" w:type="dxa"/>
            <w:noWrap w:val="0"/>
            <w:vAlign w:val="center"/>
          </w:tcPr>
          <w:p w14:paraId="605B1EBA">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100</w:t>
            </w:r>
          </w:p>
        </w:tc>
      </w:tr>
      <w:tr w14:paraId="6BC4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 w:type="dxa"/>
            <w:noWrap w:val="0"/>
            <w:vAlign w:val="center"/>
          </w:tcPr>
          <w:p w14:paraId="066227C4">
            <w:pPr>
              <w:jc w:val="center"/>
              <w:rPr>
                <w:rFonts w:hint="default"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5</w:t>
            </w:r>
          </w:p>
        </w:tc>
        <w:tc>
          <w:tcPr>
            <w:tcW w:w="1969" w:type="dxa"/>
            <w:vMerge w:val="restart"/>
            <w:noWrap w:val="0"/>
            <w:vAlign w:val="center"/>
          </w:tcPr>
          <w:p w14:paraId="4093253B">
            <w:pPr>
              <w:jc w:val="center"/>
              <w:rPr>
                <w:color w:val="auto"/>
                <w:highlight w:val="none"/>
                <w:vertAlign w:val="baseline"/>
              </w:rPr>
            </w:pPr>
            <w:r>
              <w:rPr>
                <w:rFonts w:hint="eastAsia" w:ascii="国标宋体-GB/T 2312" w:hAnsi="国标宋体-GB/T 2312" w:eastAsia="仿宋_GB2312"/>
                <w:color w:val="auto"/>
                <w:sz w:val="21"/>
                <w:highlight w:val="none"/>
                <w:lang w:val="en-US" w:eastAsia="zh-CN"/>
              </w:rPr>
              <w:t>重点研发计划</w:t>
            </w:r>
          </w:p>
        </w:tc>
        <w:tc>
          <w:tcPr>
            <w:tcW w:w="4493" w:type="dxa"/>
            <w:noWrap w:val="0"/>
            <w:vAlign w:val="center"/>
          </w:tcPr>
          <w:p w14:paraId="5AD56C6A">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AI赋能南方肉牛脂代谢调控技术研究与应用</w:t>
            </w:r>
          </w:p>
        </w:tc>
        <w:tc>
          <w:tcPr>
            <w:tcW w:w="2538" w:type="dxa"/>
            <w:noWrap w:val="0"/>
            <w:vAlign w:val="center"/>
          </w:tcPr>
          <w:p w14:paraId="0AD7130B">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赣州市畜牧水产研究所</w:t>
            </w:r>
          </w:p>
        </w:tc>
        <w:tc>
          <w:tcPr>
            <w:tcW w:w="1819" w:type="dxa"/>
            <w:noWrap w:val="0"/>
            <w:vAlign w:val="center"/>
          </w:tcPr>
          <w:p w14:paraId="689B62CB">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欧  翔</w:t>
            </w:r>
          </w:p>
        </w:tc>
        <w:tc>
          <w:tcPr>
            <w:tcW w:w="2227" w:type="dxa"/>
            <w:noWrap w:val="0"/>
            <w:vAlign w:val="center"/>
          </w:tcPr>
          <w:p w14:paraId="45333B75">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20</w:t>
            </w:r>
          </w:p>
        </w:tc>
      </w:tr>
      <w:tr w14:paraId="0BAE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7DFFE113">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6</w:t>
            </w:r>
          </w:p>
        </w:tc>
        <w:tc>
          <w:tcPr>
            <w:tcW w:w="1969" w:type="dxa"/>
            <w:vMerge w:val="continue"/>
            <w:noWrap w:val="0"/>
            <w:vAlign w:val="center"/>
          </w:tcPr>
          <w:p w14:paraId="0A6B1326">
            <w:pPr>
              <w:jc w:val="center"/>
              <w:rPr>
                <w:color w:val="auto"/>
                <w:highlight w:val="none"/>
                <w:vertAlign w:val="baseline"/>
              </w:rPr>
            </w:pPr>
          </w:p>
        </w:tc>
        <w:tc>
          <w:tcPr>
            <w:tcW w:w="4493" w:type="dxa"/>
            <w:noWrap w:val="0"/>
            <w:vAlign w:val="center"/>
          </w:tcPr>
          <w:p w14:paraId="3C872359">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鸡白痢沙门氏菌新型黏膜疫苗构建及其在宁都黄鸡中的免疫效力评估</w:t>
            </w:r>
          </w:p>
        </w:tc>
        <w:tc>
          <w:tcPr>
            <w:tcW w:w="2538" w:type="dxa"/>
            <w:noWrap w:val="0"/>
            <w:vAlign w:val="center"/>
          </w:tcPr>
          <w:p w14:paraId="41AA1A3E">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赣州市畜牧水产研究所</w:t>
            </w:r>
          </w:p>
        </w:tc>
        <w:tc>
          <w:tcPr>
            <w:tcW w:w="1819" w:type="dxa"/>
            <w:noWrap w:val="0"/>
            <w:vAlign w:val="center"/>
          </w:tcPr>
          <w:p w14:paraId="2DE780C4">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田玉玲</w:t>
            </w:r>
          </w:p>
        </w:tc>
        <w:tc>
          <w:tcPr>
            <w:tcW w:w="2227" w:type="dxa"/>
            <w:noWrap w:val="0"/>
            <w:vAlign w:val="center"/>
          </w:tcPr>
          <w:p w14:paraId="46AF291F">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30</w:t>
            </w:r>
          </w:p>
        </w:tc>
      </w:tr>
      <w:tr w14:paraId="33C1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3025D165">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7</w:t>
            </w:r>
          </w:p>
        </w:tc>
        <w:tc>
          <w:tcPr>
            <w:tcW w:w="1969" w:type="dxa"/>
            <w:vMerge w:val="continue"/>
            <w:noWrap w:val="0"/>
            <w:vAlign w:val="center"/>
          </w:tcPr>
          <w:p w14:paraId="2C2DDAB3">
            <w:pPr>
              <w:jc w:val="center"/>
              <w:rPr>
                <w:color w:val="auto"/>
                <w:highlight w:val="none"/>
                <w:vertAlign w:val="baseline"/>
              </w:rPr>
            </w:pPr>
          </w:p>
        </w:tc>
        <w:tc>
          <w:tcPr>
            <w:tcW w:w="4493" w:type="dxa"/>
            <w:noWrap w:val="0"/>
            <w:vAlign w:val="center"/>
          </w:tcPr>
          <w:p w14:paraId="7E0E06DB">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耐低温弱光丝瓜种质资源创新及应用</w:t>
            </w:r>
          </w:p>
        </w:tc>
        <w:tc>
          <w:tcPr>
            <w:tcW w:w="2538" w:type="dxa"/>
            <w:noWrap w:val="0"/>
            <w:vAlign w:val="center"/>
          </w:tcPr>
          <w:p w14:paraId="4C2B77C0">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赣州市蔬菜花卉研究所</w:t>
            </w:r>
          </w:p>
        </w:tc>
        <w:tc>
          <w:tcPr>
            <w:tcW w:w="1819" w:type="dxa"/>
            <w:noWrap w:val="0"/>
            <w:vAlign w:val="center"/>
          </w:tcPr>
          <w:p w14:paraId="4906ACDF">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张静燕</w:t>
            </w:r>
          </w:p>
        </w:tc>
        <w:tc>
          <w:tcPr>
            <w:tcW w:w="2227" w:type="dxa"/>
            <w:noWrap w:val="0"/>
            <w:vAlign w:val="center"/>
          </w:tcPr>
          <w:p w14:paraId="34E9D492">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30</w:t>
            </w:r>
          </w:p>
        </w:tc>
      </w:tr>
      <w:tr w14:paraId="36EC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7FCE386F">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8</w:t>
            </w:r>
          </w:p>
        </w:tc>
        <w:tc>
          <w:tcPr>
            <w:tcW w:w="1969" w:type="dxa"/>
            <w:vMerge w:val="continue"/>
            <w:noWrap w:val="0"/>
            <w:vAlign w:val="center"/>
          </w:tcPr>
          <w:p w14:paraId="0E0BCB97">
            <w:pPr>
              <w:jc w:val="center"/>
              <w:rPr>
                <w:color w:val="auto"/>
                <w:highlight w:val="none"/>
                <w:vertAlign w:val="baseline"/>
              </w:rPr>
            </w:pPr>
          </w:p>
        </w:tc>
        <w:tc>
          <w:tcPr>
            <w:tcW w:w="4493" w:type="dxa"/>
            <w:noWrap w:val="0"/>
            <w:vAlign w:val="center"/>
          </w:tcPr>
          <w:p w14:paraId="7B21A42F">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唇䱻苗种规模化繁育关键技术研究</w:t>
            </w:r>
          </w:p>
        </w:tc>
        <w:tc>
          <w:tcPr>
            <w:tcW w:w="2538" w:type="dxa"/>
            <w:noWrap w:val="0"/>
            <w:vAlign w:val="center"/>
          </w:tcPr>
          <w:p w14:paraId="1C706F4A">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赣州市畜牧水产研究所</w:t>
            </w:r>
          </w:p>
        </w:tc>
        <w:tc>
          <w:tcPr>
            <w:tcW w:w="1819" w:type="dxa"/>
            <w:noWrap w:val="0"/>
            <w:vAlign w:val="center"/>
          </w:tcPr>
          <w:p w14:paraId="660A1E55">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张乐乐</w:t>
            </w:r>
          </w:p>
        </w:tc>
        <w:tc>
          <w:tcPr>
            <w:tcW w:w="2227" w:type="dxa"/>
            <w:noWrap w:val="0"/>
            <w:vAlign w:val="center"/>
          </w:tcPr>
          <w:p w14:paraId="7AC3F741">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20</w:t>
            </w:r>
          </w:p>
        </w:tc>
      </w:tr>
      <w:tr w14:paraId="2096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58B593E7">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9</w:t>
            </w:r>
          </w:p>
        </w:tc>
        <w:tc>
          <w:tcPr>
            <w:tcW w:w="1969" w:type="dxa"/>
            <w:vMerge w:val="continue"/>
            <w:noWrap w:val="0"/>
            <w:vAlign w:val="center"/>
          </w:tcPr>
          <w:p w14:paraId="4CC5E580">
            <w:pPr>
              <w:jc w:val="center"/>
              <w:rPr>
                <w:color w:val="auto"/>
                <w:highlight w:val="none"/>
                <w:vertAlign w:val="baseline"/>
              </w:rPr>
            </w:pPr>
          </w:p>
        </w:tc>
        <w:tc>
          <w:tcPr>
            <w:tcW w:w="4493" w:type="dxa"/>
            <w:noWrap w:val="0"/>
            <w:vAlign w:val="center"/>
          </w:tcPr>
          <w:p w14:paraId="147E2AE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水稻广亲和三系不育系杂种优势利用及制种关键技术研究</w:t>
            </w:r>
          </w:p>
        </w:tc>
        <w:tc>
          <w:tcPr>
            <w:tcW w:w="2538" w:type="dxa"/>
            <w:noWrap w:val="0"/>
            <w:vAlign w:val="center"/>
          </w:tcPr>
          <w:p w14:paraId="4F3AB05C">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赣州市农业科学研究所</w:t>
            </w:r>
          </w:p>
        </w:tc>
        <w:tc>
          <w:tcPr>
            <w:tcW w:w="1819" w:type="dxa"/>
            <w:noWrap w:val="0"/>
            <w:vAlign w:val="center"/>
          </w:tcPr>
          <w:p w14:paraId="7A3CEFC0">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蒋  龙</w:t>
            </w:r>
          </w:p>
        </w:tc>
        <w:tc>
          <w:tcPr>
            <w:tcW w:w="2227" w:type="dxa"/>
            <w:noWrap w:val="0"/>
            <w:vAlign w:val="center"/>
          </w:tcPr>
          <w:p w14:paraId="12289720">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30</w:t>
            </w:r>
          </w:p>
        </w:tc>
      </w:tr>
      <w:tr w14:paraId="6408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783F01CC">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10</w:t>
            </w:r>
          </w:p>
        </w:tc>
        <w:tc>
          <w:tcPr>
            <w:tcW w:w="1969" w:type="dxa"/>
            <w:vMerge w:val="continue"/>
            <w:noWrap w:val="0"/>
            <w:vAlign w:val="center"/>
          </w:tcPr>
          <w:p w14:paraId="77DB6C47">
            <w:pPr>
              <w:jc w:val="center"/>
              <w:rPr>
                <w:color w:val="auto"/>
                <w:highlight w:val="none"/>
                <w:vertAlign w:val="baseline"/>
              </w:rPr>
            </w:pPr>
          </w:p>
        </w:tc>
        <w:tc>
          <w:tcPr>
            <w:tcW w:w="4493" w:type="dxa"/>
            <w:noWrap w:val="0"/>
            <w:vAlign w:val="center"/>
          </w:tcPr>
          <w:p w14:paraId="1D4BA3F5">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三角梅耐寒机制解析与良种选育及示范推广</w:t>
            </w:r>
          </w:p>
        </w:tc>
        <w:tc>
          <w:tcPr>
            <w:tcW w:w="2538" w:type="dxa"/>
            <w:noWrap w:val="0"/>
            <w:vAlign w:val="center"/>
          </w:tcPr>
          <w:p w14:paraId="691EB680">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赣州市蔬菜花卉研究所</w:t>
            </w:r>
          </w:p>
        </w:tc>
        <w:tc>
          <w:tcPr>
            <w:tcW w:w="1819" w:type="dxa"/>
            <w:noWrap w:val="0"/>
            <w:vAlign w:val="center"/>
          </w:tcPr>
          <w:p w14:paraId="272E5DD4">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周勇辉</w:t>
            </w:r>
          </w:p>
        </w:tc>
        <w:tc>
          <w:tcPr>
            <w:tcW w:w="2227" w:type="dxa"/>
            <w:noWrap w:val="0"/>
            <w:vAlign w:val="center"/>
          </w:tcPr>
          <w:p w14:paraId="61537D45">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20</w:t>
            </w:r>
          </w:p>
        </w:tc>
      </w:tr>
      <w:tr w14:paraId="51B7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6B6C40A0">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11</w:t>
            </w:r>
          </w:p>
        </w:tc>
        <w:tc>
          <w:tcPr>
            <w:tcW w:w="1969" w:type="dxa"/>
            <w:vMerge w:val="continue"/>
            <w:noWrap w:val="0"/>
            <w:vAlign w:val="center"/>
          </w:tcPr>
          <w:p w14:paraId="5F89D921">
            <w:pPr>
              <w:jc w:val="center"/>
              <w:rPr>
                <w:color w:val="auto"/>
                <w:highlight w:val="none"/>
                <w:vertAlign w:val="baseline"/>
              </w:rPr>
            </w:pPr>
          </w:p>
        </w:tc>
        <w:tc>
          <w:tcPr>
            <w:tcW w:w="4493" w:type="dxa"/>
            <w:noWrap w:val="0"/>
            <w:vAlign w:val="center"/>
          </w:tcPr>
          <w:p w14:paraId="291CF893">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基因工程抗体研发与农残自检技术在蔬菜绿色生产中的应用研究</w:t>
            </w:r>
          </w:p>
        </w:tc>
        <w:tc>
          <w:tcPr>
            <w:tcW w:w="2538" w:type="dxa"/>
            <w:noWrap w:val="0"/>
            <w:vAlign w:val="center"/>
          </w:tcPr>
          <w:p w14:paraId="5DD0BBA1">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赣州市蔬菜花卉研究所</w:t>
            </w:r>
          </w:p>
        </w:tc>
        <w:tc>
          <w:tcPr>
            <w:tcW w:w="1819" w:type="dxa"/>
            <w:noWrap w:val="0"/>
            <w:vAlign w:val="center"/>
          </w:tcPr>
          <w:p w14:paraId="48E30436">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骆振营</w:t>
            </w:r>
          </w:p>
        </w:tc>
        <w:tc>
          <w:tcPr>
            <w:tcW w:w="2227" w:type="dxa"/>
            <w:noWrap w:val="0"/>
            <w:vAlign w:val="center"/>
          </w:tcPr>
          <w:p w14:paraId="59DFD582">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20</w:t>
            </w:r>
          </w:p>
        </w:tc>
      </w:tr>
      <w:tr w14:paraId="28E3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262DB5BC">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12</w:t>
            </w:r>
          </w:p>
        </w:tc>
        <w:tc>
          <w:tcPr>
            <w:tcW w:w="1969" w:type="dxa"/>
            <w:vMerge w:val="continue"/>
            <w:noWrap w:val="0"/>
            <w:vAlign w:val="center"/>
          </w:tcPr>
          <w:p w14:paraId="3CA48DBE">
            <w:pPr>
              <w:jc w:val="center"/>
              <w:rPr>
                <w:color w:val="auto"/>
                <w:highlight w:val="none"/>
                <w:vertAlign w:val="baseline"/>
              </w:rPr>
            </w:pPr>
          </w:p>
        </w:tc>
        <w:tc>
          <w:tcPr>
            <w:tcW w:w="4493" w:type="dxa"/>
            <w:noWrap w:val="0"/>
            <w:vAlign w:val="center"/>
          </w:tcPr>
          <w:p w14:paraId="58E7F1A7">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肉鸽毛滴虫病绿色高效防控技术研究</w:t>
            </w:r>
          </w:p>
        </w:tc>
        <w:tc>
          <w:tcPr>
            <w:tcW w:w="2538" w:type="dxa"/>
            <w:noWrap w:val="0"/>
            <w:vAlign w:val="center"/>
          </w:tcPr>
          <w:p w14:paraId="4E5E5094">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赣州市畜牧水产研究所</w:t>
            </w:r>
          </w:p>
        </w:tc>
        <w:tc>
          <w:tcPr>
            <w:tcW w:w="1819" w:type="dxa"/>
            <w:noWrap w:val="0"/>
            <w:vAlign w:val="center"/>
          </w:tcPr>
          <w:p w14:paraId="7360C37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谢华亮</w:t>
            </w:r>
          </w:p>
        </w:tc>
        <w:tc>
          <w:tcPr>
            <w:tcW w:w="2227" w:type="dxa"/>
            <w:noWrap w:val="0"/>
            <w:vAlign w:val="center"/>
          </w:tcPr>
          <w:p w14:paraId="1FC738C6">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20</w:t>
            </w:r>
          </w:p>
        </w:tc>
      </w:tr>
      <w:tr w14:paraId="09F0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5" w:type="dxa"/>
            <w:noWrap w:val="0"/>
            <w:vAlign w:val="center"/>
          </w:tcPr>
          <w:p w14:paraId="5EA5783F">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13</w:t>
            </w:r>
          </w:p>
        </w:tc>
        <w:tc>
          <w:tcPr>
            <w:tcW w:w="1969" w:type="dxa"/>
            <w:vMerge w:val="continue"/>
            <w:noWrap w:val="0"/>
            <w:vAlign w:val="center"/>
          </w:tcPr>
          <w:p w14:paraId="1F48630C">
            <w:pPr>
              <w:jc w:val="center"/>
              <w:rPr>
                <w:color w:val="auto"/>
                <w:highlight w:val="none"/>
                <w:vertAlign w:val="baseline"/>
              </w:rPr>
            </w:pPr>
          </w:p>
        </w:tc>
        <w:tc>
          <w:tcPr>
            <w:tcW w:w="4493" w:type="dxa"/>
            <w:noWrap w:val="0"/>
            <w:vAlign w:val="center"/>
          </w:tcPr>
          <w:p w14:paraId="4F1CA1D2">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赣南废弃矿区油茶林综合效应评价及生态恢复技术集成示范</w:t>
            </w:r>
          </w:p>
        </w:tc>
        <w:tc>
          <w:tcPr>
            <w:tcW w:w="2538" w:type="dxa"/>
            <w:noWrap w:val="0"/>
            <w:vAlign w:val="center"/>
          </w:tcPr>
          <w:p w14:paraId="3B0548B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赣州市林业科学研究所</w:t>
            </w:r>
          </w:p>
        </w:tc>
        <w:tc>
          <w:tcPr>
            <w:tcW w:w="1819" w:type="dxa"/>
            <w:noWrap w:val="0"/>
            <w:vAlign w:val="center"/>
          </w:tcPr>
          <w:p w14:paraId="3A2E74B8">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文竹梅</w:t>
            </w:r>
          </w:p>
        </w:tc>
        <w:tc>
          <w:tcPr>
            <w:tcW w:w="2227" w:type="dxa"/>
            <w:noWrap w:val="0"/>
            <w:vAlign w:val="center"/>
          </w:tcPr>
          <w:p w14:paraId="2FF33248">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20</w:t>
            </w:r>
          </w:p>
        </w:tc>
      </w:tr>
      <w:tr w14:paraId="2F45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5D411D4F">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14</w:t>
            </w:r>
          </w:p>
        </w:tc>
        <w:tc>
          <w:tcPr>
            <w:tcW w:w="1969" w:type="dxa"/>
            <w:vMerge w:val="continue"/>
            <w:noWrap w:val="0"/>
            <w:vAlign w:val="center"/>
          </w:tcPr>
          <w:p w14:paraId="68191D49">
            <w:pPr>
              <w:jc w:val="center"/>
              <w:rPr>
                <w:color w:val="auto"/>
                <w:highlight w:val="none"/>
                <w:vertAlign w:val="baseline"/>
              </w:rPr>
            </w:pPr>
          </w:p>
        </w:tc>
        <w:tc>
          <w:tcPr>
            <w:tcW w:w="4493" w:type="dxa"/>
            <w:noWrap w:val="0"/>
            <w:vAlign w:val="center"/>
          </w:tcPr>
          <w:p w14:paraId="6CEC480C">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多花黄精须根全组分高效提取与高值化利用关键技术及产业化研究</w:t>
            </w:r>
          </w:p>
        </w:tc>
        <w:tc>
          <w:tcPr>
            <w:tcW w:w="2538" w:type="dxa"/>
            <w:noWrap w:val="0"/>
            <w:vAlign w:val="center"/>
          </w:tcPr>
          <w:p w14:paraId="33B8C1B2">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赣州市林业科学研究所</w:t>
            </w:r>
          </w:p>
        </w:tc>
        <w:tc>
          <w:tcPr>
            <w:tcW w:w="1819" w:type="dxa"/>
            <w:noWrap w:val="0"/>
            <w:vAlign w:val="center"/>
          </w:tcPr>
          <w:p w14:paraId="311F3EC3">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熊  炀</w:t>
            </w:r>
          </w:p>
        </w:tc>
        <w:tc>
          <w:tcPr>
            <w:tcW w:w="2227" w:type="dxa"/>
            <w:noWrap w:val="0"/>
            <w:vAlign w:val="center"/>
          </w:tcPr>
          <w:p w14:paraId="79067C31">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20</w:t>
            </w:r>
          </w:p>
        </w:tc>
      </w:tr>
      <w:tr w14:paraId="4225B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6A94B874">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15</w:t>
            </w:r>
          </w:p>
        </w:tc>
        <w:tc>
          <w:tcPr>
            <w:tcW w:w="1969" w:type="dxa"/>
            <w:vMerge w:val="continue"/>
            <w:noWrap w:val="0"/>
            <w:vAlign w:val="center"/>
          </w:tcPr>
          <w:p w14:paraId="47A1F157">
            <w:pPr>
              <w:jc w:val="center"/>
              <w:rPr>
                <w:color w:val="auto"/>
                <w:highlight w:val="none"/>
                <w:vertAlign w:val="baseline"/>
              </w:rPr>
            </w:pPr>
          </w:p>
        </w:tc>
        <w:tc>
          <w:tcPr>
            <w:tcW w:w="4493" w:type="dxa"/>
            <w:noWrap w:val="0"/>
            <w:vAlign w:val="center"/>
          </w:tcPr>
          <w:p w14:paraId="462013E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扁柏属树种木材香味物质组分解析与天然耐腐性能研究</w:t>
            </w:r>
          </w:p>
        </w:tc>
        <w:tc>
          <w:tcPr>
            <w:tcW w:w="2538" w:type="dxa"/>
            <w:noWrap w:val="0"/>
            <w:vAlign w:val="center"/>
          </w:tcPr>
          <w:p w14:paraId="656A05AB">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赣南树木园</w:t>
            </w:r>
          </w:p>
        </w:tc>
        <w:tc>
          <w:tcPr>
            <w:tcW w:w="1819" w:type="dxa"/>
            <w:noWrap w:val="0"/>
            <w:vAlign w:val="center"/>
          </w:tcPr>
          <w:p w14:paraId="34F67F7C">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王义平</w:t>
            </w:r>
          </w:p>
        </w:tc>
        <w:tc>
          <w:tcPr>
            <w:tcW w:w="2227" w:type="dxa"/>
            <w:noWrap w:val="0"/>
            <w:vAlign w:val="center"/>
          </w:tcPr>
          <w:p w14:paraId="5804B875">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40</w:t>
            </w:r>
          </w:p>
        </w:tc>
      </w:tr>
      <w:tr w14:paraId="116D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77BEB689">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16</w:t>
            </w:r>
          </w:p>
        </w:tc>
        <w:tc>
          <w:tcPr>
            <w:tcW w:w="1969" w:type="dxa"/>
            <w:vMerge w:val="continue"/>
            <w:noWrap w:val="0"/>
            <w:vAlign w:val="center"/>
          </w:tcPr>
          <w:p w14:paraId="14B467A2">
            <w:pPr>
              <w:jc w:val="center"/>
              <w:rPr>
                <w:color w:val="auto"/>
                <w:highlight w:val="none"/>
                <w:vertAlign w:val="baseline"/>
              </w:rPr>
            </w:pPr>
          </w:p>
        </w:tc>
        <w:tc>
          <w:tcPr>
            <w:tcW w:w="4493" w:type="dxa"/>
            <w:noWrap w:val="0"/>
            <w:vAlign w:val="center"/>
          </w:tcPr>
          <w:p w14:paraId="0E03681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钙离子纯化-超声结晶协同的脐橙皮渣高酯果胶与橙皮苷联产关键技术研究</w:t>
            </w:r>
          </w:p>
        </w:tc>
        <w:tc>
          <w:tcPr>
            <w:tcW w:w="2538" w:type="dxa"/>
            <w:noWrap w:val="0"/>
            <w:vAlign w:val="center"/>
          </w:tcPr>
          <w:p w14:paraId="56A89785">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赣南科学院</w:t>
            </w:r>
          </w:p>
        </w:tc>
        <w:tc>
          <w:tcPr>
            <w:tcW w:w="1819" w:type="dxa"/>
            <w:noWrap w:val="0"/>
            <w:vAlign w:val="center"/>
          </w:tcPr>
          <w:p w14:paraId="35774C4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黄  赟</w:t>
            </w:r>
          </w:p>
        </w:tc>
        <w:tc>
          <w:tcPr>
            <w:tcW w:w="2227" w:type="dxa"/>
            <w:noWrap w:val="0"/>
            <w:vAlign w:val="center"/>
          </w:tcPr>
          <w:p w14:paraId="2ED46F3C">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40</w:t>
            </w:r>
          </w:p>
        </w:tc>
      </w:tr>
      <w:tr w14:paraId="685C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591AC1B1">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17</w:t>
            </w:r>
          </w:p>
        </w:tc>
        <w:tc>
          <w:tcPr>
            <w:tcW w:w="1969" w:type="dxa"/>
            <w:vMerge w:val="continue"/>
            <w:noWrap w:val="0"/>
            <w:vAlign w:val="center"/>
          </w:tcPr>
          <w:p w14:paraId="65F7E41A">
            <w:pPr>
              <w:jc w:val="center"/>
              <w:rPr>
                <w:color w:val="auto"/>
                <w:highlight w:val="none"/>
                <w:vertAlign w:val="baseline"/>
              </w:rPr>
            </w:pPr>
          </w:p>
        </w:tc>
        <w:tc>
          <w:tcPr>
            <w:tcW w:w="4493" w:type="dxa"/>
            <w:noWrap w:val="0"/>
            <w:vAlign w:val="center"/>
          </w:tcPr>
          <w:p w14:paraId="51595901">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基于脐橙渣的蚯蚓养殖配方研究与应用</w:t>
            </w:r>
          </w:p>
        </w:tc>
        <w:tc>
          <w:tcPr>
            <w:tcW w:w="2538" w:type="dxa"/>
            <w:noWrap w:val="0"/>
            <w:vAlign w:val="center"/>
          </w:tcPr>
          <w:p w14:paraId="0BED5C22">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赣南科学院</w:t>
            </w:r>
          </w:p>
        </w:tc>
        <w:tc>
          <w:tcPr>
            <w:tcW w:w="1819" w:type="dxa"/>
            <w:noWrap w:val="0"/>
            <w:vAlign w:val="center"/>
          </w:tcPr>
          <w:p w14:paraId="3D849CE7">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张斐斐</w:t>
            </w:r>
          </w:p>
        </w:tc>
        <w:tc>
          <w:tcPr>
            <w:tcW w:w="2227" w:type="dxa"/>
            <w:noWrap w:val="0"/>
            <w:vAlign w:val="center"/>
          </w:tcPr>
          <w:p w14:paraId="0A4E26EC">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25</w:t>
            </w:r>
          </w:p>
        </w:tc>
      </w:tr>
      <w:tr w14:paraId="1919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00188BDF">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18</w:t>
            </w:r>
          </w:p>
        </w:tc>
        <w:tc>
          <w:tcPr>
            <w:tcW w:w="1969" w:type="dxa"/>
            <w:vMerge w:val="restart"/>
            <w:noWrap w:val="0"/>
            <w:vAlign w:val="center"/>
          </w:tcPr>
          <w:p w14:paraId="66487E7F">
            <w:pPr>
              <w:jc w:val="center"/>
              <w:rPr>
                <w:color w:val="auto"/>
                <w:highlight w:val="none"/>
                <w:vertAlign w:val="baseline"/>
              </w:rPr>
            </w:pPr>
            <w:r>
              <w:rPr>
                <w:rFonts w:hint="eastAsia" w:ascii="国标宋体-GB/T 2312" w:hAnsi="国标宋体-GB/T 2312" w:eastAsia="仿宋_GB2312"/>
                <w:color w:val="auto"/>
                <w:sz w:val="21"/>
                <w:highlight w:val="none"/>
                <w:lang w:val="en-US" w:eastAsia="zh-CN"/>
              </w:rPr>
              <w:t>探索性研究项目</w:t>
            </w:r>
          </w:p>
        </w:tc>
        <w:tc>
          <w:tcPr>
            <w:tcW w:w="4493" w:type="dxa"/>
            <w:noWrap w:val="0"/>
            <w:vAlign w:val="center"/>
          </w:tcPr>
          <w:p w14:paraId="616E2E2B">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w:t>
            </w:r>
            <w:r>
              <w:rPr>
                <w:rFonts w:hint="eastAsia" w:ascii="国标宋体-GB/T 2312" w:hAnsi="国标宋体-GB/T 2312" w:eastAsia="仿宋_GB2312"/>
                <w:color w:val="auto"/>
                <w:sz w:val="21"/>
                <w:highlight w:val="none"/>
                <w:lang w:val="en-US" w:eastAsia="zh-CN"/>
              </w:rPr>
              <w:t>枳</w:t>
            </w:r>
            <w:r>
              <w:rPr>
                <w:rFonts w:hint="default" w:ascii="国标宋体-GB/T 2312" w:hAnsi="国标宋体-GB/T 2312" w:eastAsia="仿宋_GB2312"/>
                <w:color w:val="auto"/>
                <w:sz w:val="21"/>
                <w:highlight w:val="none"/>
                <w:lang w:val="en-US" w:eastAsia="zh-CN"/>
              </w:rPr>
              <w:t>-</w:t>
            </w:r>
            <w:r>
              <w:rPr>
                <w:rFonts w:hint="eastAsia" w:ascii="国标宋体-GB/T 2312" w:hAnsi="国标宋体-GB/T 2312" w:eastAsia="仿宋_GB2312"/>
                <w:color w:val="auto"/>
                <w:sz w:val="21"/>
                <w:highlight w:val="none"/>
                <w:lang w:val="en-US" w:eastAsia="zh-CN"/>
              </w:rPr>
              <w:t>橙嵌合</w:t>
            </w:r>
            <w:r>
              <w:rPr>
                <w:rFonts w:hint="default" w:ascii="国标宋体-GB/T 2312" w:hAnsi="国标宋体-GB/T 2312" w:eastAsia="仿宋_GB2312"/>
                <w:color w:val="auto"/>
                <w:sz w:val="21"/>
                <w:highlight w:val="none"/>
                <w:lang w:val="en-US" w:eastAsia="zh-CN"/>
              </w:rPr>
              <w:t>’</w:t>
            </w:r>
            <w:r>
              <w:rPr>
                <w:rFonts w:hint="eastAsia" w:ascii="国标宋体-GB/T 2312" w:hAnsi="国标宋体-GB/T 2312" w:eastAsia="仿宋_GB2312"/>
                <w:color w:val="auto"/>
                <w:sz w:val="21"/>
                <w:highlight w:val="none"/>
                <w:lang w:val="en-US" w:eastAsia="zh-CN"/>
              </w:rPr>
              <w:t>纽荷尔脐橙芽变鉴定及耐寒机制初步解析</w:t>
            </w:r>
          </w:p>
        </w:tc>
        <w:tc>
          <w:tcPr>
            <w:tcW w:w="2538" w:type="dxa"/>
            <w:noWrap w:val="0"/>
            <w:vAlign w:val="center"/>
          </w:tcPr>
          <w:p w14:paraId="03DAD26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赣州市柑桔科学研究所</w:t>
            </w:r>
          </w:p>
        </w:tc>
        <w:tc>
          <w:tcPr>
            <w:tcW w:w="1819" w:type="dxa"/>
            <w:noWrap w:val="0"/>
            <w:vAlign w:val="center"/>
          </w:tcPr>
          <w:p w14:paraId="3BBDF6F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曾春发</w:t>
            </w:r>
          </w:p>
        </w:tc>
        <w:tc>
          <w:tcPr>
            <w:tcW w:w="2227" w:type="dxa"/>
            <w:noWrap w:val="0"/>
            <w:vAlign w:val="center"/>
          </w:tcPr>
          <w:p w14:paraId="4B94FDB7">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640A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24A7B5DA">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19</w:t>
            </w:r>
          </w:p>
        </w:tc>
        <w:tc>
          <w:tcPr>
            <w:tcW w:w="1969" w:type="dxa"/>
            <w:vMerge w:val="continue"/>
            <w:noWrap w:val="0"/>
            <w:vAlign w:val="center"/>
          </w:tcPr>
          <w:p w14:paraId="19555047">
            <w:pPr>
              <w:jc w:val="center"/>
              <w:rPr>
                <w:color w:val="auto"/>
                <w:highlight w:val="none"/>
                <w:vertAlign w:val="baseline"/>
              </w:rPr>
            </w:pPr>
          </w:p>
        </w:tc>
        <w:tc>
          <w:tcPr>
            <w:tcW w:w="4493" w:type="dxa"/>
            <w:noWrap w:val="0"/>
            <w:vAlign w:val="center"/>
          </w:tcPr>
          <w:p w14:paraId="6066F22C">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硒代蛋氨酸调控生猪肌肉发育与肉品质形成的阶段效应及分子机制研究</w:t>
            </w:r>
          </w:p>
        </w:tc>
        <w:tc>
          <w:tcPr>
            <w:tcW w:w="2538" w:type="dxa"/>
            <w:noWrap w:val="0"/>
            <w:vAlign w:val="center"/>
          </w:tcPr>
          <w:p w14:paraId="2457C662">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赣州市畜牧水产研究所</w:t>
            </w:r>
          </w:p>
        </w:tc>
        <w:tc>
          <w:tcPr>
            <w:tcW w:w="1819" w:type="dxa"/>
            <w:noWrap w:val="0"/>
            <w:vAlign w:val="center"/>
          </w:tcPr>
          <w:p w14:paraId="09BEF1B7">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林小翠</w:t>
            </w:r>
          </w:p>
        </w:tc>
        <w:tc>
          <w:tcPr>
            <w:tcW w:w="2227" w:type="dxa"/>
            <w:noWrap w:val="0"/>
            <w:vAlign w:val="center"/>
          </w:tcPr>
          <w:p w14:paraId="7E5446E7">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4D9E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4E3DA4BE">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20</w:t>
            </w:r>
          </w:p>
        </w:tc>
        <w:tc>
          <w:tcPr>
            <w:tcW w:w="1969" w:type="dxa"/>
            <w:vMerge w:val="continue"/>
            <w:noWrap w:val="0"/>
            <w:vAlign w:val="center"/>
          </w:tcPr>
          <w:p w14:paraId="4CF51852">
            <w:pPr>
              <w:jc w:val="center"/>
              <w:rPr>
                <w:color w:val="auto"/>
                <w:highlight w:val="none"/>
                <w:vertAlign w:val="baseline"/>
              </w:rPr>
            </w:pPr>
          </w:p>
        </w:tc>
        <w:tc>
          <w:tcPr>
            <w:tcW w:w="4493" w:type="dxa"/>
            <w:noWrap w:val="0"/>
            <w:vAlign w:val="center"/>
          </w:tcPr>
          <w:p w14:paraId="35A90363">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脐橙落果类黄酮的酶法改性及其高值化利用关键技术研究</w:t>
            </w:r>
          </w:p>
        </w:tc>
        <w:tc>
          <w:tcPr>
            <w:tcW w:w="2538" w:type="dxa"/>
            <w:noWrap w:val="0"/>
            <w:vAlign w:val="center"/>
          </w:tcPr>
          <w:p w14:paraId="044BDEE3">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赣南科学院</w:t>
            </w:r>
          </w:p>
        </w:tc>
        <w:tc>
          <w:tcPr>
            <w:tcW w:w="1819" w:type="dxa"/>
            <w:noWrap w:val="0"/>
            <w:vAlign w:val="center"/>
          </w:tcPr>
          <w:p w14:paraId="10C6500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李阳成</w:t>
            </w:r>
          </w:p>
        </w:tc>
        <w:tc>
          <w:tcPr>
            <w:tcW w:w="2227" w:type="dxa"/>
            <w:noWrap w:val="0"/>
            <w:vAlign w:val="center"/>
          </w:tcPr>
          <w:p w14:paraId="5971C23C">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30B4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5A8057D9">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21</w:t>
            </w:r>
          </w:p>
        </w:tc>
        <w:tc>
          <w:tcPr>
            <w:tcW w:w="1969" w:type="dxa"/>
            <w:vMerge w:val="continue"/>
            <w:noWrap w:val="0"/>
            <w:vAlign w:val="center"/>
          </w:tcPr>
          <w:p w14:paraId="03B4C62E">
            <w:pPr>
              <w:jc w:val="center"/>
              <w:rPr>
                <w:color w:val="auto"/>
                <w:highlight w:val="none"/>
                <w:vertAlign w:val="baseline"/>
              </w:rPr>
            </w:pPr>
          </w:p>
        </w:tc>
        <w:tc>
          <w:tcPr>
            <w:tcW w:w="4493" w:type="dxa"/>
            <w:noWrap w:val="0"/>
            <w:vAlign w:val="center"/>
          </w:tcPr>
          <w:p w14:paraId="4F38C9B9">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基于</w:t>
            </w:r>
            <w:r>
              <w:rPr>
                <w:rFonts w:hint="default" w:ascii="国标宋体-GB/T 2312" w:hAnsi="国标宋体-GB/T 2312" w:eastAsia="仿宋_GB2312"/>
                <w:color w:val="auto"/>
                <w:sz w:val="21"/>
                <w:highlight w:val="none"/>
                <w:lang w:val="en-US" w:eastAsia="zh-CN"/>
              </w:rPr>
              <w:t>GIS</w:t>
            </w:r>
            <w:r>
              <w:rPr>
                <w:rFonts w:hint="eastAsia" w:ascii="国标宋体-GB/T 2312" w:hAnsi="国标宋体-GB/T 2312" w:eastAsia="仿宋_GB2312"/>
                <w:color w:val="auto"/>
                <w:sz w:val="21"/>
                <w:highlight w:val="none"/>
                <w:lang w:val="en-US" w:eastAsia="zh-CN"/>
              </w:rPr>
              <w:t>的赣南脐橙主产区土壤养分空间变异及肥力评估研究</w:t>
            </w:r>
          </w:p>
        </w:tc>
        <w:tc>
          <w:tcPr>
            <w:tcW w:w="2538" w:type="dxa"/>
            <w:noWrap w:val="0"/>
            <w:vAlign w:val="center"/>
          </w:tcPr>
          <w:p w14:paraId="19C27A73">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赣州市柑桔科学研究所</w:t>
            </w:r>
          </w:p>
        </w:tc>
        <w:tc>
          <w:tcPr>
            <w:tcW w:w="1819" w:type="dxa"/>
            <w:noWrap w:val="0"/>
            <w:vAlign w:val="center"/>
          </w:tcPr>
          <w:p w14:paraId="6D56181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曾庆阳</w:t>
            </w:r>
          </w:p>
        </w:tc>
        <w:tc>
          <w:tcPr>
            <w:tcW w:w="2227" w:type="dxa"/>
            <w:noWrap w:val="0"/>
            <w:vAlign w:val="center"/>
          </w:tcPr>
          <w:p w14:paraId="0496C189">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248C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5153402B">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22</w:t>
            </w:r>
          </w:p>
        </w:tc>
        <w:tc>
          <w:tcPr>
            <w:tcW w:w="1969" w:type="dxa"/>
            <w:vMerge w:val="continue"/>
            <w:noWrap w:val="0"/>
            <w:vAlign w:val="center"/>
          </w:tcPr>
          <w:p w14:paraId="3487F2F1">
            <w:pPr>
              <w:jc w:val="center"/>
              <w:rPr>
                <w:color w:val="auto"/>
                <w:highlight w:val="none"/>
                <w:vertAlign w:val="baseline"/>
              </w:rPr>
            </w:pPr>
          </w:p>
        </w:tc>
        <w:tc>
          <w:tcPr>
            <w:tcW w:w="4493" w:type="dxa"/>
            <w:noWrap w:val="0"/>
            <w:vAlign w:val="center"/>
          </w:tcPr>
          <w:p w14:paraId="52CECB4B">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耐寒三角梅根系内生菌群落解析及其功能初探</w:t>
            </w:r>
          </w:p>
        </w:tc>
        <w:tc>
          <w:tcPr>
            <w:tcW w:w="2538" w:type="dxa"/>
            <w:noWrap w:val="0"/>
            <w:vAlign w:val="center"/>
          </w:tcPr>
          <w:p w14:paraId="1CADC02B">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赣州市蔬菜花卉研究所</w:t>
            </w:r>
          </w:p>
        </w:tc>
        <w:tc>
          <w:tcPr>
            <w:tcW w:w="1819" w:type="dxa"/>
            <w:noWrap w:val="0"/>
            <w:vAlign w:val="center"/>
          </w:tcPr>
          <w:p w14:paraId="2AB7976D">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阳雅荧</w:t>
            </w:r>
          </w:p>
        </w:tc>
        <w:tc>
          <w:tcPr>
            <w:tcW w:w="2227" w:type="dxa"/>
            <w:noWrap w:val="0"/>
            <w:vAlign w:val="center"/>
          </w:tcPr>
          <w:p w14:paraId="527B57B8">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003E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0595F186">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23</w:t>
            </w:r>
          </w:p>
        </w:tc>
        <w:tc>
          <w:tcPr>
            <w:tcW w:w="1969" w:type="dxa"/>
            <w:vMerge w:val="continue"/>
            <w:noWrap w:val="0"/>
            <w:vAlign w:val="center"/>
          </w:tcPr>
          <w:p w14:paraId="10EDB8BD">
            <w:pPr>
              <w:jc w:val="center"/>
              <w:rPr>
                <w:color w:val="auto"/>
                <w:highlight w:val="none"/>
                <w:vertAlign w:val="baseline"/>
              </w:rPr>
            </w:pPr>
          </w:p>
        </w:tc>
        <w:tc>
          <w:tcPr>
            <w:tcW w:w="4493" w:type="dxa"/>
            <w:noWrap w:val="0"/>
            <w:vAlign w:val="center"/>
          </w:tcPr>
          <w:p w14:paraId="2C96AA51">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赣南富硒土壤促生增硒菌株筛选及白草莓栽培应用研究</w:t>
            </w:r>
          </w:p>
        </w:tc>
        <w:tc>
          <w:tcPr>
            <w:tcW w:w="2538" w:type="dxa"/>
            <w:noWrap w:val="0"/>
            <w:vAlign w:val="center"/>
          </w:tcPr>
          <w:p w14:paraId="4BEC98DC">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赣州市蔬菜花卉研究所</w:t>
            </w:r>
          </w:p>
        </w:tc>
        <w:tc>
          <w:tcPr>
            <w:tcW w:w="1819" w:type="dxa"/>
            <w:noWrap w:val="0"/>
            <w:vAlign w:val="center"/>
          </w:tcPr>
          <w:p w14:paraId="2CE1206E">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丁榆芳</w:t>
            </w:r>
          </w:p>
        </w:tc>
        <w:tc>
          <w:tcPr>
            <w:tcW w:w="2227" w:type="dxa"/>
            <w:noWrap w:val="0"/>
            <w:vAlign w:val="center"/>
          </w:tcPr>
          <w:p w14:paraId="2C8913D8">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4DCB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779393C4">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24</w:t>
            </w:r>
          </w:p>
        </w:tc>
        <w:tc>
          <w:tcPr>
            <w:tcW w:w="1969" w:type="dxa"/>
            <w:vMerge w:val="continue"/>
            <w:noWrap w:val="0"/>
            <w:vAlign w:val="center"/>
          </w:tcPr>
          <w:p w14:paraId="49F1340A">
            <w:pPr>
              <w:jc w:val="center"/>
              <w:rPr>
                <w:color w:val="auto"/>
                <w:highlight w:val="none"/>
                <w:vertAlign w:val="baseline"/>
              </w:rPr>
            </w:pPr>
          </w:p>
        </w:tc>
        <w:tc>
          <w:tcPr>
            <w:tcW w:w="4493" w:type="dxa"/>
            <w:noWrap w:val="0"/>
            <w:vAlign w:val="center"/>
          </w:tcPr>
          <w:p w14:paraId="783A965F">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发酵脐橙渣替代豆粕在大余鸭育成期的应用效果研究</w:t>
            </w:r>
          </w:p>
        </w:tc>
        <w:tc>
          <w:tcPr>
            <w:tcW w:w="2538" w:type="dxa"/>
            <w:noWrap w:val="0"/>
            <w:vAlign w:val="center"/>
          </w:tcPr>
          <w:p w14:paraId="09318995">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赣州市畜牧水产研究所</w:t>
            </w:r>
          </w:p>
        </w:tc>
        <w:tc>
          <w:tcPr>
            <w:tcW w:w="1819" w:type="dxa"/>
            <w:noWrap w:val="0"/>
            <w:vAlign w:val="center"/>
          </w:tcPr>
          <w:p w14:paraId="13304EBA">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成  笛</w:t>
            </w:r>
          </w:p>
        </w:tc>
        <w:tc>
          <w:tcPr>
            <w:tcW w:w="2227" w:type="dxa"/>
            <w:noWrap w:val="0"/>
            <w:vAlign w:val="center"/>
          </w:tcPr>
          <w:p w14:paraId="05C7FF15">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2619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527D426A">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25</w:t>
            </w:r>
          </w:p>
        </w:tc>
        <w:tc>
          <w:tcPr>
            <w:tcW w:w="1969" w:type="dxa"/>
            <w:vMerge w:val="continue"/>
            <w:noWrap w:val="0"/>
            <w:vAlign w:val="center"/>
          </w:tcPr>
          <w:p w14:paraId="444C8B2B">
            <w:pPr>
              <w:jc w:val="center"/>
              <w:rPr>
                <w:color w:val="auto"/>
                <w:highlight w:val="none"/>
                <w:vertAlign w:val="baseline"/>
              </w:rPr>
            </w:pPr>
          </w:p>
        </w:tc>
        <w:tc>
          <w:tcPr>
            <w:tcW w:w="4493" w:type="dxa"/>
            <w:noWrap w:val="0"/>
            <w:vAlign w:val="center"/>
          </w:tcPr>
          <w:p w14:paraId="2C45B881">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镁肥调控油茶炭疽病抗性的机制研究</w:t>
            </w:r>
          </w:p>
        </w:tc>
        <w:tc>
          <w:tcPr>
            <w:tcW w:w="2538" w:type="dxa"/>
            <w:noWrap w:val="0"/>
            <w:vAlign w:val="center"/>
          </w:tcPr>
          <w:p w14:paraId="16F33DFE">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赣州市林业科学研究所</w:t>
            </w:r>
          </w:p>
        </w:tc>
        <w:tc>
          <w:tcPr>
            <w:tcW w:w="1819" w:type="dxa"/>
            <w:noWrap w:val="0"/>
            <w:vAlign w:val="center"/>
          </w:tcPr>
          <w:p w14:paraId="31FEC4EF">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徐文英</w:t>
            </w:r>
          </w:p>
        </w:tc>
        <w:tc>
          <w:tcPr>
            <w:tcW w:w="2227" w:type="dxa"/>
            <w:noWrap w:val="0"/>
            <w:vAlign w:val="center"/>
          </w:tcPr>
          <w:p w14:paraId="6F01DE86">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12A0E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0D6BEC6E">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26</w:t>
            </w:r>
          </w:p>
        </w:tc>
        <w:tc>
          <w:tcPr>
            <w:tcW w:w="1969" w:type="dxa"/>
            <w:vMerge w:val="continue"/>
            <w:noWrap w:val="0"/>
            <w:vAlign w:val="center"/>
          </w:tcPr>
          <w:p w14:paraId="7A6325B4">
            <w:pPr>
              <w:jc w:val="center"/>
              <w:rPr>
                <w:color w:val="auto"/>
                <w:highlight w:val="none"/>
                <w:vertAlign w:val="baseline"/>
              </w:rPr>
            </w:pPr>
          </w:p>
        </w:tc>
        <w:tc>
          <w:tcPr>
            <w:tcW w:w="4493" w:type="dxa"/>
            <w:noWrap w:val="0"/>
            <w:vAlign w:val="center"/>
          </w:tcPr>
          <w:p w14:paraId="09726707">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红花油茶籽油超临界萃取工艺优化与微胶囊稳态技术研究</w:t>
            </w:r>
          </w:p>
        </w:tc>
        <w:tc>
          <w:tcPr>
            <w:tcW w:w="2538" w:type="dxa"/>
            <w:noWrap w:val="0"/>
            <w:vAlign w:val="center"/>
          </w:tcPr>
          <w:p w14:paraId="00640D30">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赣州市林业科学研究所</w:t>
            </w:r>
          </w:p>
        </w:tc>
        <w:tc>
          <w:tcPr>
            <w:tcW w:w="1819" w:type="dxa"/>
            <w:noWrap w:val="0"/>
            <w:vAlign w:val="center"/>
          </w:tcPr>
          <w:p w14:paraId="468B779B">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赖哲颖</w:t>
            </w:r>
          </w:p>
        </w:tc>
        <w:tc>
          <w:tcPr>
            <w:tcW w:w="2227" w:type="dxa"/>
            <w:noWrap w:val="0"/>
            <w:vAlign w:val="center"/>
          </w:tcPr>
          <w:p w14:paraId="3531CE24">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6668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43AF3180">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27</w:t>
            </w:r>
          </w:p>
        </w:tc>
        <w:tc>
          <w:tcPr>
            <w:tcW w:w="1969" w:type="dxa"/>
            <w:vMerge w:val="continue"/>
            <w:noWrap w:val="0"/>
            <w:vAlign w:val="center"/>
          </w:tcPr>
          <w:p w14:paraId="0B9FC467">
            <w:pPr>
              <w:jc w:val="center"/>
              <w:rPr>
                <w:color w:val="auto"/>
                <w:highlight w:val="none"/>
                <w:vertAlign w:val="baseline"/>
              </w:rPr>
            </w:pPr>
          </w:p>
        </w:tc>
        <w:tc>
          <w:tcPr>
            <w:tcW w:w="4493" w:type="dxa"/>
            <w:noWrap w:val="0"/>
            <w:vAlign w:val="center"/>
          </w:tcPr>
          <w:p w14:paraId="2A869A35">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赣南柑橘花香释放规律及其特征性香气数据库图谱构建</w:t>
            </w:r>
          </w:p>
        </w:tc>
        <w:tc>
          <w:tcPr>
            <w:tcW w:w="2538" w:type="dxa"/>
            <w:noWrap w:val="0"/>
            <w:vAlign w:val="center"/>
          </w:tcPr>
          <w:p w14:paraId="3FF9A30C">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赣州市柑桔科学研究所</w:t>
            </w:r>
          </w:p>
        </w:tc>
        <w:tc>
          <w:tcPr>
            <w:tcW w:w="1819" w:type="dxa"/>
            <w:noWrap w:val="0"/>
            <w:vAlign w:val="center"/>
          </w:tcPr>
          <w:p w14:paraId="6C05E537">
            <w:pPr>
              <w:jc w:val="center"/>
              <w:rPr>
                <w:rFonts w:hint="eastAsia"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郭紫晶</w:t>
            </w:r>
          </w:p>
        </w:tc>
        <w:tc>
          <w:tcPr>
            <w:tcW w:w="2227" w:type="dxa"/>
            <w:noWrap w:val="0"/>
            <w:vAlign w:val="center"/>
          </w:tcPr>
          <w:p w14:paraId="3A4AD313">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default" w:ascii="国标宋体-GB/T 2312" w:hAnsi="国标宋体-GB/T 2312" w:eastAsia="仿宋_GB2312"/>
                <w:color w:val="auto"/>
                <w:sz w:val="21"/>
                <w:highlight w:val="none"/>
                <w:lang w:val="en-US" w:eastAsia="zh-CN"/>
              </w:rPr>
              <w:t>10</w:t>
            </w:r>
          </w:p>
        </w:tc>
      </w:tr>
      <w:tr w14:paraId="3B53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center"/>
          </w:tcPr>
          <w:p w14:paraId="2AE07FFA">
            <w:pPr>
              <w:jc w:val="center"/>
              <w:rPr>
                <w:rFonts w:hint="default" w:ascii="国标宋体-GB/T 2312" w:hAnsi="国标宋体-GB/T 2312" w:eastAsia="仿宋_GB2312" w:cs="Times New Roman"/>
                <w:color w:val="auto"/>
                <w:kern w:val="2"/>
                <w:sz w:val="21"/>
                <w:szCs w:val="24"/>
                <w:highlight w:val="none"/>
                <w:lang w:val="en-US" w:eastAsia="zh-CN" w:bidi="ar-SA"/>
              </w:rPr>
            </w:pPr>
            <w:r>
              <w:rPr>
                <w:rFonts w:hint="eastAsia" w:ascii="国标宋体-GB/T 2312" w:hAnsi="国标宋体-GB/T 2312" w:eastAsia="仿宋_GB2312"/>
                <w:color w:val="auto"/>
                <w:sz w:val="21"/>
                <w:highlight w:val="none"/>
                <w:lang w:val="en-US" w:eastAsia="zh-CN"/>
              </w:rPr>
              <w:t>28</w:t>
            </w:r>
          </w:p>
        </w:tc>
        <w:tc>
          <w:tcPr>
            <w:tcW w:w="1969" w:type="dxa"/>
            <w:noWrap w:val="0"/>
            <w:vAlign w:val="center"/>
          </w:tcPr>
          <w:p w14:paraId="789CC3EA">
            <w:pPr>
              <w:jc w:val="center"/>
              <w:rPr>
                <w:rFonts w:hint="eastAsia"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定向</w:t>
            </w:r>
          </w:p>
          <w:p w14:paraId="4E7D7A1E">
            <w:pPr>
              <w:jc w:val="center"/>
              <w:rPr>
                <w:rFonts w:hint="eastAsia" w:eastAsia="宋体"/>
                <w:color w:val="auto"/>
                <w:highlight w:val="none"/>
                <w:vertAlign w:val="baseline"/>
                <w:lang w:eastAsia="zh-CN"/>
              </w:rPr>
            </w:pPr>
            <w:r>
              <w:rPr>
                <w:rFonts w:hint="eastAsia" w:ascii="国标宋体-GB/T 2312" w:hAnsi="国标宋体-GB/T 2312" w:eastAsia="仿宋_GB2312"/>
                <w:color w:val="auto"/>
                <w:sz w:val="21"/>
                <w:highlight w:val="none"/>
                <w:lang w:val="en-US" w:eastAsia="zh-CN"/>
              </w:rPr>
              <w:t>项目</w:t>
            </w:r>
          </w:p>
        </w:tc>
        <w:tc>
          <w:tcPr>
            <w:tcW w:w="4493" w:type="dxa"/>
            <w:noWrap w:val="0"/>
            <w:vAlign w:val="center"/>
          </w:tcPr>
          <w:p w14:paraId="33CA5DEC">
            <w:pPr>
              <w:jc w:val="center"/>
              <w:rPr>
                <w:rFonts w:hint="eastAsia"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南繁水稻育种</w:t>
            </w:r>
          </w:p>
        </w:tc>
        <w:tc>
          <w:tcPr>
            <w:tcW w:w="2538" w:type="dxa"/>
            <w:noWrap w:val="0"/>
            <w:vAlign w:val="center"/>
          </w:tcPr>
          <w:p w14:paraId="1E3EE7A8">
            <w:pPr>
              <w:jc w:val="center"/>
              <w:rPr>
                <w:rFonts w:hint="eastAsia"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赣州市农业科学研究所</w:t>
            </w:r>
          </w:p>
        </w:tc>
        <w:tc>
          <w:tcPr>
            <w:tcW w:w="1819" w:type="dxa"/>
            <w:noWrap w:val="0"/>
            <w:vAlign w:val="center"/>
          </w:tcPr>
          <w:p w14:paraId="3B4BD6C8">
            <w:pPr>
              <w:jc w:val="center"/>
              <w:rPr>
                <w:rFonts w:hint="eastAsia"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刘海平</w:t>
            </w:r>
          </w:p>
        </w:tc>
        <w:tc>
          <w:tcPr>
            <w:tcW w:w="2227" w:type="dxa"/>
            <w:noWrap w:val="0"/>
            <w:vAlign w:val="center"/>
          </w:tcPr>
          <w:p w14:paraId="4CBADA04">
            <w:pPr>
              <w:jc w:val="center"/>
              <w:rPr>
                <w:rFonts w:hint="default" w:ascii="国标宋体-GB/T 2312" w:hAnsi="国标宋体-GB/T 2312" w:eastAsia="仿宋_GB2312"/>
                <w:color w:val="auto"/>
                <w:sz w:val="21"/>
                <w:highlight w:val="none"/>
                <w:lang w:val="en-US" w:eastAsia="zh-CN"/>
              </w:rPr>
            </w:pPr>
            <w:r>
              <w:rPr>
                <w:rFonts w:hint="eastAsia" w:ascii="国标宋体-GB/T 2312" w:hAnsi="国标宋体-GB/T 2312" w:eastAsia="仿宋_GB2312"/>
                <w:color w:val="auto"/>
                <w:sz w:val="21"/>
                <w:highlight w:val="none"/>
                <w:lang w:val="en-US" w:eastAsia="zh-CN"/>
              </w:rPr>
              <w:t>15</w:t>
            </w:r>
          </w:p>
        </w:tc>
      </w:tr>
    </w:tbl>
    <w:p w14:paraId="2C4317B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32"/>
          <w:szCs w:val="32"/>
          <w:lang w:val="en-US" w:eastAsia="zh-CN"/>
        </w:rPr>
      </w:pPr>
    </w:p>
    <w:p w14:paraId="32FF859E"/>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国标宋体-GB/T 2312">
    <w:altName w:val="宋体"/>
    <w:panose1 w:val="020005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34088"/>
    <w:rsid w:val="4AB34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rPr>
      <w:rFonts w:ascii="Calibri" w:hAnsi="Calibri"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2026-05-21T08:11:00Z</dcterms:created>
  <dc:creator>科技局</dc:creator>
  <cp:lastModifiedBy>科技局</cp:lastModifiedBy>
  <dcterms:modified xsi:type="dcterms:W3CDTF">2026-05-21T08:15:33Z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D4A42B185FAA409F8D895349E345E853_11</vt:lpwstr>
  </property>
  <property fmtid="{D5CDD505-2E9C-101B-9397-08002B2CF9AE}" pid="4" name="KSOTemplateDocerSaveRecord">
    <vt:lpwstr>eyJoZGlkIjoiYzNmN2ZhZDg3OGUwYjFhZDkzYjI3MjhmNTU2NjdkZTciLCJ1c2VySWQiOiI3MTcwNzg1NjgifQ==</vt:lpwstr>
  </property>
</Properties>
</file>