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4</w:t>
      </w:r>
    </w:p>
    <w:p>
      <w:pPr>
        <w:pStyle w:val="4"/>
        <w:rPr>
          <w:rFonts w:hint="default"/>
        </w:rPr>
      </w:pPr>
    </w:p>
    <w:p>
      <w:pPr>
        <w:spacing w:beforeLines="0" w:afterLines="0"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 w:val="0"/>
          <w:color w:val="auto"/>
          <w:kern w:val="2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Cs w:val="0"/>
          <w:color w:val="auto"/>
          <w:kern w:val="2"/>
          <w:sz w:val="44"/>
          <w:szCs w:val="44"/>
          <w:shd w:val="clear" w:color="auto" w:fill="auto"/>
        </w:rPr>
        <w:t>企业研发准备金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kern w:val="2"/>
          <w:sz w:val="44"/>
          <w:szCs w:val="44"/>
          <w:shd w:val="clear" w:color="auto" w:fill="auto"/>
          <w:lang w:val="en-US" w:eastAsia="zh-CN"/>
        </w:rPr>
        <w:t>内部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kern w:val="2"/>
          <w:sz w:val="44"/>
          <w:szCs w:val="44"/>
          <w:shd w:val="clear" w:color="auto" w:fill="auto"/>
        </w:rPr>
        <w:t>制度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kern w:val="2"/>
          <w:sz w:val="44"/>
          <w:szCs w:val="44"/>
          <w:shd w:val="clear" w:color="auto" w:fill="auto"/>
          <w:lang w:val="en-US" w:eastAsia="zh-CN"/>
        </w:rPr>
        <w:t>建议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kern w:val="2"/>
          <w:sz w:val="44"/>
          <w:szCs w:val="44"/>
          <w:shd w:val="clear" w:color="auto" w:fill="auto"/>
        </w:rPr>
        <w:t>提纲</w:t>
      </w:r>
    </w:p>
    <w:p>
      <w:pPr>
        <w:spacing w:beforeLines="0" w:afterLines="0" w:line="560" w:lineRule="exact"/>
        <w:jc w:val="center"/>
        <w:outlineLvl w:val="0"/>
        <w:rPr>
          <w:rFonts w:hint="eastAsia" w:ascii="楷体_GB2312" w:hAnsi="楷体_GB2312" w:eastAsia="楷体_GB2312" w:cs="楷体_GB2312"/>
          <w:bCs w:val="0"/>
          <w:color w:val="auto"/>
          <w:kern w:val="2"/>
          <w:sz w:val="32"/>
          <w:szCs w:val="32"/>
          <w:shd w:val="clear" w:color="auto" w:fill="auto"/>
        </w:rPr>
      </w:pPr>
      <w:r>
        <w:rPr>
          <w:rFonts w:hint="eastAsia" w:ascii="楷体_GB2312" w:hAnsi="楷体_GB2312" w:eastAsia="楷体_GB2312" w:cs="楷体_GB2312"/>
          <w:bCs w:val="0"/>
          <w:color w:val="auto"/>
          <w:kern w:val="2"/>
          <w:sz w:val="32"/>
          <w:szCs w:val="32"/>
          <w:shd w:val="clear" w:color="auto" w:fill="auto"/>
        </w:rPr>
        <w:t>（参考模板）</w:t>
      </w:r>
    </w:p>
    <w:p>
      <w:pPr>
        <w:widowControl w:val="0"/>
        <w:snapToGrid w:val="0"/>
        <w:spacing w:line="580" w:lineRule="exact"/>
        <w:ind w:firstLine="642" w:firstLineChars="200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</w:rPr>
      </w:pPr>
    </w:p>
    <w:p>
      <w:pPr>
        <w:widowControl w:val="0"/>
        <w:snapToGrid w:val="0"/>
        <w:spacing w:beforeLines="0" w:afterLines="0" w:line="58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  <w:t>第一章  总则</w:t>
      </w:r>
    </w:p>
    <w:p>
      <w:pPr>
        <w:widowControl w:val="0"/>
        <w:snapToGrid w:val="0"/>
        <w:spacing w:beforeLines="0" w:afterLines="0" w:line="580" w:lineRule="exact"/>
        <w:ind w:firstLine="592" w:firstLineChars="200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12"/>
          <w:sz w:val="32"/>
          <w:szCs w:val="32"/>
        </w:rPr>
        <w:t>包括制定目的、意义、依据、研发准备金概念、适用范围等内容。</w:t>
      </w:r>
    </w:p>
    <w:p>
      <w:pPr>
        <w:widowControl w:val="0"/>
        <w:snapToGrid w:val="0"/>
        <w:spacing w:beforeLines="0" w:afterLines="0" w:line="58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  <w:t>第二章  提取与分配</w:t>
      </w:r>
    </w:p>
    <w:p>
      <w:pPr>
        <w:spacing w:beforeLines="0" w:afterLines="0"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包括计提依据、计提比率、计提时间以及在各研发项目间的分配等内容。</w:t>
      </w:r>
    </w:p>
    <w:p>
      <w:pPr>
        <w:widowControl w:val="0"/>
        <w:snapToGrid w:val="0"/>
        <w:spacing w:beforeLines="0" w:afterLines="0" w:line="58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  <w:t>第三章  使用范围</w:t>
      </w:r>
    </w:p>
    <w:p>
      <w:pPr>
        <w:spacing w:beforeLines="0" w:afterLines="0"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包括研发准备金的开支范围和标准，亦即研发经费的开支范围和标准，以及不可列支范围。</w:t>
      </w:r>
    </w:p>
    <w:p>
      <w:pPr>
        <w:widowControl w:val="0"/>
        <w:snapToGrid w:val="0"/>
        <w:spacing w:beforeLines="0" w:afterLines="0" w:line="58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  <w:t>第四章  管理</w:t>
      </w:r>
    </w:p>
    <w:p>
      <w:pPr>
        <w:spacing w:beforeLines="0" w:afterLines="0"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包括研发准备金的管理流程、部门职责分工、审批/报销程序，研发经费预算、研发经费支出台账管理等内容。</w:t>
      </w:r>
    </w:p>
    <w:p>
      <w:pPr>
        <w:widowControl w:val="0"/>
        <w:snapToGrid w:val="0"/>
        <w:spacing w:beforeLines="0" w:afterLines="0" w:line="58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  <w:t>第五章  核算、报告与披露（或财务处理）</w:t>
      </w:r>
    </w:p>
    <w:p>
      <w:pPr>
        <w:spacing w:beforeLines="0" w:afterLines="0"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包括研发准备金的计提、转回，以及研发经费支出、研究开发费用归集等事项的会计核算处理，在会计报表中的列示，在附注中的信息披露，以及研发准备金的纳税调整等内容。</w:t>
      </w:r>
    </w:p>
    <w:p>
      <w:pPr>
        <w:widowControl w:val="0"/>
        <w:snapToGrid w:val="0"/>
        <w:spacing w:beforeLines="0" w:afterLines="0" w:line="58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</w:rPr>
        <w:t>第六章  附则</w:t>
      </w:r>
    </w:p>
    <w:p>
      <w:pPr>
        <w:spacing w:beforeLines="0" w:afterLines="0" w:line="580" w:lineRule="exact"/>
        <w:jc w:val="left"/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上述各章未尽事项，可在本章中明确。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zMawqzAQAAUgMAAA4AAABkcnMv&#10;ZTJvRG9jLnhtbK1TS44TMRDdI3EHy3viTi9Q1IozmtFoEBICpIEDOG47bck/lZ105wJwA1Zs2HOu&#10;nIOyk84MsENs3OWq6lfvVZXXN5Oz5KAgmeA5XS4aSpSXoTd+x+nnTw+vVpSkLHwvbPCK06NK9Gbz&#10;8sV6jJ1qwxBsr4AgiE/dGDkdco4dY0kOyom0CFF5DOoATmS8wo71IEZEd5a1TfOajQH6CEGqlNB7&#10;fw7STcXXWsn8QeukMrGcIrdcT6jntpxssxbdDkQcjLzQEP/AwgnjsegV6l5kQfZg/oJyRkJIQeeF&#10;DI4FrY1UVQOqWTZ/qHkcRFRVCzYnxWub0v+Dle8PH4GYntOWEi8cjuj07evp+8/Tjy+kLe0ZY+ow&#10;6zFiXp7uwsRphr2aQwn9RfikwZUvSiKYgr0+XvurpkwkOperdrVqMCQxNl+wBHv6PULKb1RwpBic&#10;Ag6w9lUc3qV8Tp1TSjUfHoy1dYjW/+ZAzOJhhf6ZY7HytJ0umrahP6KkEWfPqcflpMS+9djasiaz&#10;AbOxnY19BLMbkJoWNpXhCIS/3WckUvmVKmfoS3EcXFV4WbKyGc/vNevpKWx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AszGsKswEAAFIDAAAOAAAAAAAAAAEAIAAAADQ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79516"/>
    <w:rsid w:val="5EB79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Times New Roman" w:hAnsi="Times New Roman"/>
      <w:color w:val="000000"/>
      <w:kern w:val="0"/>
      <w:sz w:val="24"/>
      <w:szCs w:val="24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2024-04-01T17:13:00Z</dcterms:created>
  <dc:creator>greatwall</dc:creator>
  <cp:lastModifiedBy>greatwall</cp:lastModifiedBy>
  <dcterms:modified xsi:type="dcterms:W3CDTF">2024-04-01T17:14:17Z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