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2019年度</w:t>
      </w:r>
    </w:p>
    <w:p>
      <w:pPr>
        <w:pStyle w:val="10"/>
        <w:jc w:val="center"/>
        <w:rPr>
          <w:sz w:val="84"/>
          <w:szCs w:val="84"/>
        </w:rPr>
      </w:pPr>
      <w:r>
        <w:rPr>
          <w:rFonts w:hint="eastAsia"/>
          <w:sz w:val="84"/>
          <w:szCs w:val="84"/>
        </w:rPr>
        <w:t>永州市科学技术局</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spacing w:line="540" w:lineRule="exact"/>
        <w:rPr>
          <w:sz w:val="56"/>
          <w:szCs w:val="56"/>
        </w:rPr>
      </w:pPr>
    </w:p>
    <w:p>
      <w:pPr>
        <w:pStyle w:val="10"/>
        <w:spacing w:line="540" w:lineRule="exact"/>
        <w:rPr>
          <w:sz w:val="56"/>
          <w:szCs w:val="56"/>
        </w:rPr>
      </w:pPr>
    </w:p>
    <w:p>
      <w:pPr>
        <w:pStyle w:val="10"/>
        <w:spacing w:line="520" w:lineRule="exact"/>
        <w:jc w:val="center"/>
        <w:rPr>
          <w:sz w:val="56"/>
          <w:szCs w:val="56"/>
        </w:rPr>
      </w:pPr>
      <w:r>
        <w:rPr>
          <w:rFonts w:hint="eastAsia"/>
          <w:sz w:val="56"/>
          <w:szCs w:val="56"/>
        </w:rPr>
        <w:t>目 录</w:t>
      </w:r>
    </w:p>
    <w:p>
      <w:pPr>
        <w:pStyle w:val="10"/>
        <w:spacing w:line="520" w:lineRule="exact"/>
        <w:rPr>
          <w:rFonts w:ascii="仿宋_GB2312" w:hAnsi="仿宋_GB2312" w:cs="仿宋_GB2312"/>
          <w:b/>
          <w:sz w:val="28"/>
          <w:szCs w:val="28"/>
        </w:rPr>
      </w:pPr>
      <w:r>
        <w:rPr>
          <w:rFonts w:hint="eastAsia"/>
          <w:b/>
          <w:sz w:val="28"/>
          <w:szCs w:val="28"/>
        </w:rPr>
        <w:t>第一部分永州市科学技术局概况</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2019</w:t>
      </w:r>
      <w:r>
        <w:rPr>
          <w:rFonts w:hint="eastAsia" w:hAnsi="仿宋_GB2312"/>
          <w:b/>
          <w:sz w:val="28"/>
          <w:szCs w:val="28"/>
        </w:rPr>
        <w:t>年度部门决算情况说明</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永州市科学技术局</w:t>
      </w:r>
    </w:p>
    <w:p>
      <w:pPr>
        <w:pStyle w:val="10"/>
        <w:jc w:val="center"/>
        <w:rPr>
          <w:sz w:val="84"/>
          <w:szCs w:val="84"/>
        </w:rPr>
      </w:pPr>
      <w:r>
        <w:rPr>
          <w:rFonts w:hint="eastAsia"/>
          <w:sz w:val="84"/>
          <w:szCs w:val="84"/>
        </w:rPr>
        <w:t>概 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snapToGrid w:val="0"/>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一、部门</w:t>
      </w:r>
      <w:r>
        <w:rPr>
          <w:rFonts w:hint="eastAsia" w:ascii="黑体" w:hAnsi="黑体" w:eastAsia="黑体" w:cs="Times New Roman"/>
          <w:sz w:val="32"/>
          <w:szCs w:val="32"/>
        </w:rPr>
        <w:t>主要职</w:t>
      </w:r>
      <w:r>
        <w:rPr>
          <w:rFonts w:hint="eastAsia" w:ascii="黑体" w:hAnsi="黑体" w:eastAsia="黑体"/>
          <w:sz w:val="32"/>
          <w:szCs w:val="32"/>
        </w:rPr>
        <w:t>责</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一</w:t>
      </w:r>
      <w:r>
        <w:rPr>
          <w:rFonts w:hint="eastAsia" w:ascii="仿宋_GB2312" w:hAnsi="Calibri" w:eastAsia="仿宋_GB2312" w:cs="Times New Roman"/>
          <w:sz w:val="32"/>
          <w:szCs w:val="32"/>
        </w:rPr>
        <w:t>）负责全市科学技术进步的宏观管理和统筹协调。</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二</w:t>
      </w:r>
      <w:r>
        <w:rPr>
          <w:rFonts w:hint="eastAsia" w:ascii="仿宋_GB2312" w:hAnsi="Calibri" w:eastAsia="仿宋_GB2312" w:cs="Times New Roman"/>
          <w:sz w:val="32"/>
          <w:szCs w:val="32"/>
        </w:rPr>
        <w:t>）组织实施科技重大专项。</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三</w:t>
      </w:r>
      <w:r>
        <w:rPr>
          <w:rFonts w:hint="eastAsia" w:ascii="仿宋_GB2312" w:hAnsi="Calibri" w:eastAsia="仿宋_GB2312" w:cs="Times New Roman"/>
          <w:sz w:val="32"/>
          <w:szCs w:val="32"/>
        </w:rPr>
        <w:t>）负责组织实施市级科技工作计划。</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四</w:t>
      </w:r>
      <w:r>
        <w:rPr>
          <w:rFonts w:hint="eastAsia" w:ascii="仿宋_GB2312" w:hAnsi="Calibri" w:eastAsia="仿宋_GB2312" w:cs="Times New Roman"/>
          <w:sz w:val="32"/>
          <w:szCs w:val="32"/>
        </w:rPr>
        <w:t>）牵头组织全市农村和社会发展领域科技进步工作。</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五</w:t>
      </w:r>
      <w:r>
        <w:rPr>
          <w:rFonts w:hint="eastAsia" w:ascii="仿宋_GB2312" w:hAnsi="Calibri" w:eastAsia="仿宋_GB2312" w:cs="Times New Roman"/>
          <w:sz w:val="32"/>
          <w:szCs w:val="32"/>
        </w:rPr>
        <w:t>）牵头组织协调促进全市产学研结合工作。</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六</w:t>
      </w:r>
      <w:r>
        <w:rPr>
          <w:rFonts w:hint="eastAsia" w:ascii="仿宋_GB2312" w:hAnsi="Calibri" w:eastAsia="仿宋_GB2312" w:cs="Times New Roman"/>
          <w:sz w:val="32"/>
          <w:szCs w:val="32"/>
        </w:rPr>
        <w:t>）主管全市高新技术的研究开发、成果转化以及产业化工作。</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七</w:t>
      </w:r>
      <w:r>
        <w:rPr>
          <w:rFonts w:hint="eastAsia" w:ascii="仿宋_GB2312" w:hAnsi="Calibri" w:eastAsia="仿宋_GB2312" w:cs="Times New Roman"/>
          <w:sz w:val="32"/>
          <w:szCs w:val="32"/>
        </w:rPr>
        <w:t>）会同有关部门提出全市科技体制改革的建议与措施，推进全市创新体系建设；审核相关科研机构的组建和调整。</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八</w:t>
      </w:r>
      <w:r>
        <w:rPr>
          <w:rFonts w:hint="eastAsia" w:ascii="仿宋_GB2312" w:hAnsi="Calibri" w:eastAsia="仿宋_GB2312" w:cs="Times New Roman"/>
          <w:sz w:val="32"/>
          <w:szCs w:val="32"/>
        </w:rPr>
        <w:t>）负责本部门及归口管理的市级科技经费预决算和经费使用的监督管理；会同有关部门制定多渠道增加科技投入措施；组织拟订全市科研条件保障的规划和相关措施；会同有关部门提出科技资源合理配置的建议。</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九</w:t>
      </w:r>
      <w:r>
        <w:rPr>
          <w:rFonts w:hint="eastAsia" w:ascii="仿宋_GB2312" w:hAnsi="Calibri" w:eastAsia="仿宋_GB2312" w:cs="Times New Roman"/>
          <w:sz w:val="32"/>
          <w:szCs w:val="32"/>
        </w:rPr>
        <w:t>）拟订全市对外科技合作与交流的规划和相关措施；负责组织科技外事与合作项目的审定工作；参与重大引进项目的论证与决策。</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十</w:t>
      </w:r>
      <w:r>
        <w:rPr>
          <w:rFonts w:hint="eastAsia" w:ascii="仿宋_GB2312" w:hAnsi="Calibri" w:eastAsia="仿宋_GB2312" w:cs="Times New Roman"/>
          <w:sz w:val="32"/>
          <w:szCs w:val="32"/>
        </w:rPr>
        <w:t>）负责全市科学技术普及工作。</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十一</w:t>
      </w:r>
      <w:r>
        <w:rPr>
          <w:rFonts w:hint="eastAsia" w:ascii="仿宋_GB2312" w:hAnsi="Calibri" w:eastAsia="仿宋_GB2312" w:cs="Times New Roman"/>
          <w:sz w:val="32"/>
          <w:szCs w:val="32"/>
        </w:rPr>
        <w:t>）负责全市科技人才有关工作。</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十二</w:t>
      </w:r>
      <w:r>
        <w:rPr>
          <w:rFonts w:hint="eastAsia" w:ascii="仿宋_GB2312" w:hAnsi="Calibri" w:eastAsia="仿宋_GB2312" w:cs="Times New Roman"/>
          <w:sz w:val="32"/>
          <w:szCs w:val="32"/>
        </w:rPr>
        <w:t>）负责全市科技奖励、科技保密、科技评估、科技统计、科技情报信息、科技期刊管理等工作。</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十三</w:t>
      </w:r>
      <w:r>
        <w:rPr>
          <w:rFonts w:hint="eastAsia" w:ascii="仿宋_GB2312" w:hAnsi="Calibri" w:eastAsia="仿宋_GB2312" w:cs="Times New Roman"/>
          <w:sz w:val="32"/>
          <w:szCs w:val="32"/>
        </w:rPr>
        <w:t>）承办市委、市人民政府交办的其他事项。</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napToGrid w:val="0"/>
        <w:spacing w:line="600" w:lineRule="exact"/>
        <w:ind w:firstLine="640" w:firstLineChars="200"/>
        <w:rPr>
          <w:rFonts w:ascii="仿宋_GB2312" w:hAnsi="仿宋" w:eastAsia="仿宋_GB2312" w:cs="Times New Roman"/>
          <w:sz w:val="32"/>
          <w:szCs w:val="32"/>
        </w:rPr>
      </w:pPr>
      <w:r>
        <w:rPr>
          <w:rFonts w:hint="eastAsia" w:asciiTheme="minorEastAsia" w:hAnsiTheme="minorEastAsia"/>
          <w:bCs/>
          <w:kern w:val="0"/>
          <w:sz w:val="32"/>
          <w:szCs w:val="32"/>
        </w:rPr>
        <w:t>（一）</w:t>
      </w:r>
      <w:r>
        <w:rPr>
          <w:rFonts w:hint="eastAsia" w:ascii="仿宋" w:hAnsi="仿宋" w:eastAsia="仿宋"/>
          <w:bCs/>
          <w:kern w:val="0"/>
          <w:sz w:val="32"/>
          <w:szCs w:val="32"/>
        </w:rPr>
        <w:t>内设机构设置。</w:t>
      </w:r>
      <w:r>
        <w:rPr>
          <w:rFonts w:hint="eastAsia" w:ascii="仿宋_GB2312" w:hAnsi="Calibri" w:eastAsia="仿宋_GB2312" w:cs="Times New Roman"/>
          <w:sz w:val="32"/>
          <w:szCs w:val="32"/>
        </w:rPr>
        <w:t>科技局现有内设科室6个。6个内设科室是办公室、政策法规科、综合规划与高新技术产业发展科、农村科技与社会发展科（扶贫工作办公室）、科技成果与监督管理科、科技合作与外国专家服务科（科技人才工作办公室）。</w:t>
      </w:r>
    </w:p>
    <w:p>
      <w:pPr>
        <w:widowControl/>
        <w:spacing w:line="600" w:lineRule="exact"/>
        <w:ind w:firstLine="640" w:firstLineChars="200"/>
        <w:rPr>
          <w:rFonts w:ascii="仿宋_GB2312" w:eastAsia="仿宋_GB2312" w:hAnsiTheme="minorEastAsia"/>
          <w:bCs/>
          <w:kern w:val="0"/>
          <w:sz w:val="32"/>
          <w:szCs w:val="32"/>
        </w:rPr>
      </w:pPr>
      <w:r>
        <w:rPr>
          <w:rFonts w:hint="eastAsia" w:asciiTheme="minorEastAsia" w:hAnsiTheme="minorEastAsia"/>
          <w:bCs/>
          <w:kern w:val="0"/>
          <w:sz w:val="32"/>
          <w:szCs w:val="32"/>
        </w:rPr>
        <w:t>（二）</w:t>
      </w:r>
      <w:r>
        <w:rPr>
          <w:rFonts w:hint="eastAsia" w:ascii="仿宋" w:hAnsi="仿宋" w:eastAsia="仿宋"/>
          <w:bCs/>
          <w:kern w:val="0"/>
          <w:sz w:val="32"/>
          <w:szCs w:val="32"/>
        </w:rPr>
        <w:t>决算单位构成。</w:t>
      </w:r>
      <w:r>
        <w:rPr>
          <w:rFonts w:hint="eastAsia" w:ascii="仿宋_GB2312" w:eastAsia="仿宋_GB2312" w:hAnsiTheme="minorEastAsia"/>
          <w:bCs/>
          <w:kern w:val="0"/>
          <w:sz w:val="32"/>
          <w:szCs w:val="32"/>
        </w:rPr>
        <w:t>永州市科学技术局2019年部门决算公开单位构成仅包括：永州市科学技术局本级。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ascii="黑体" w:hAnsi="黑体" w:eastAsia="黑体"/>
          <w:sz w:val="72"/>
          <w:szCs w:val="72"/>
        </w:rPr>
      </w:pPr>
      <w:r>
        <w:rPr>
          <w:rFonts w:hint="eastAsia" w:ascii="黑体" w:hAnsi="黑体" w:eastAsia="黑体"/>
          <w:sz w:val="72"/>
          <w:szCs w:val="72"/>
        </w:rPr>
        <w:t>第二部分</w: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657.49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2.76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3</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06"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八、社会保障和就业支出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　</w:t>
            </w:r>
          </w:p>
        </w:tc>
      </w:tr>
      <w:tr>
        <w:tblPrEx>
          <w:tblLayout w:type="fixed"/>
          <w:tblCellMar>
            <w:top w:w="0" w:type="dxa"/>
            <w:left w:w="108" w:type="dxa"/>
            <w:bottom w:w="0" w:type="dxa"/>
            <w:right w:w="108" w:type="dxa"/>
          </w:tblCellMar>
        </w:tblPrEx>
        <w:trPr>
          <w:trHeight w:val="187"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7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224"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4820"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九、卫生健康支出</w:t>
            </w:r>
          </w:p>
        </w:tc>
        <w:tc>
          <w:tcPr>
            <w:tcW w:w="7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w:t>
            </w:r>
          </w:p>
        </w:tc>
        <w:tc>
          <w:tcPr>
            <w:tcW w:w="1681" w:type="dxa"/>
            <w:tcBorders>
              <w:top w:val="single" w:color="auto" w:sz="4" w:space="0"/>
              <w:left w:val="nil"/>
              <w:bottom w:val="single" w:color="auto" w:sz="4" w:space="0"/>
              <w:right w:val="single" w:color="auto" w:sz="4" w:space="0"/>
            </w:tcBorders>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r>
      <w:tr>
        <w:tblPrEx>
          <w:tblLayout w:type="fixed"/>
          <w:tblCellMar>
            <w:top w:w="0" w:type="dxa"/>
            <w:left w:w="108" w:type="dxa"/>
            <w:bottom w:w="0" w:type="dxa"/>
            <w:right w:w="108" w:type="dxa"/>
          </w:tblCellMar>
        </w:tblPrEx>
        <w:trPr>
          <w:trHeight w:val="144"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7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1224"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4820"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w:t>
            </w:r>
            <w:r>
              <w:rPr>
                <w:rFonts w:ascii="Times New Roman" w:hAnsi="Times New Roman" w:eastAsia="仿宋_GB2312" w:cs="Times New Roman"/>
                <w:kern w:val="0"/>
                <w:szCs w:val="21"/>
              </w:rPr>
              <w:t>……</w:t>
            </w:r>
          </w:p>
        </w:tc>
        <w:tc>
          <w:tcPr>
            <w:tcW w:w="7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w:t>
            </w:r>
          </w:p>
        </w:tc>
        <w:tc>
          <w:tcPr>
            <w:tcW w:w="1681" w:type="dxa"/>
            <w:tcBorders>
              <w:top w:val="single" w:color="auto" w:sz="4" w:space="0"/>
              <w:left w:val="nil"/>
              <w:bottom w:val="single" w:color="auto" w:sz="4" w:space="0"/>
              <w:right w:val="single" w:color="auto" w:sz="4" w:space="0"/>
            </w:tcBorders>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206"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7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w:t>
            </w:r>
          </w:p>
        </w:tc>
        <w:tc>
          <w:tcPr>
            <w:tcW w:w="1224"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4820"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二十二、其他支出</w:t>
            </w:r>
          </w:p>
        </w:tc>
        <w:tc>
          <w:tcPr>
            <w:tcW w:w="7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w:t>
            </w:r>
          </w:p>
        </w:tc>
        <w:tc>
          <w:tcPr>
            <w:tcW w:w="1681" w:type="dxa"/>
            <w:tcBorders>
              <w:top w:val="single" w:color="auto" w:sz="4" w:space="0"/>
              <w:left w:val="nil"/>
              <w:bottom w:val="single" w:color="auto" w:sz="4" w:space="0"/>
              <w:right w:val="single" w:color="auto" w:sz="4" w:space="0"/>
            </w:tcBorders>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r>
      <w:tr>
        <w:tblPrEx>
          <w:tblLayout w:type="fixed"/>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4" w:type="dxa"/>
            <w:tcBorders>
              <w:top w:val="single" w:color="auto" w:sz="4" w:space="0"/>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716.34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716.34</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716.34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716.34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10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98" w:type="dxa"/>
        <w:jc w:val="center"/>
        <w:tblInd w:w="93" w:type="dxa"/>
        <w:tblLayout w:type="fixed"/>
        <w:tblCellMar>
          <w:top w:w="0" w:type="dxa"/>
          <w:left w:w="108" w:type="dxa"/>
          <w:bottom w:w="0" w:type="dxa"/>
          <w:right w:w="108" w:type="dxa"/>
        </w:tblCellMar>
      </w:tblPr>
      <w:tblGrid>
        <w:gridCol w:w="1197"/>
        <w:gridCol w:w="3723"/>
        <w:gridCol w:w="1134"/>
        <w:gridCol w:w="1134"/>
        <w:gridCol w:w="846"/>
        <w:gridCol w:w="765"/>
        <w:gridCol w:w="1412"/>
        <w:gridCol w:w="1676"/>
        <w:gridCol w:w="2011"/>
      </w:tblGrid>
      <w:tr>
        <w:tblPrEx>
          <w:tblLayout w:type="fixed"/>
          <w:tblCellMar>
            <w:top w:w="0" w:type="dxa"/>
            <w:left w:w="108" w:type="dxa"/>
            <w:bottom w:w="0" w:type="dxa"/>
            <w:right w:w="108" w:type="dxa"/>
          </w:tblCellMar>
        </w:tblPrEx>
        <w:trPr>
          <w:trHeight w:val="302" w:hRule="atLeast"/>
          <w:jc w:val="center"/>
        </w:trPr>
        <w:tc>
          <w:tcPr>
            <w:tcW w:w="4920"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84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76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72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372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7" w:hRule="atLeast"/>
          <w:jc w:val="center"/>
        </w:trPr>
        <w:tc>
          <w:tcPr>
            <w:tcW w:w="492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266" w:hRule="atLeast"/>
          <w:jc w:val="center"/>
        </w:trPr>
        <w:tc>
          <w:tcPr>
            <w:tcW w:w="4920"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716.34</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w:t>
            </w:r>
            <w:r>
              <w:rPr>
                <w:rFonts w:ascii="Times New Roman" w:hAnsi="Times New Roman" w:eastAsia="仿宋_GB2312" w:cs="Times New Roman"/>
                <w:kern w:val="0"/>
                <w:szCs w:val="21"/>
              </w:rPr>
              <w:t>　</w:t>
            </w:r>
          </w:p>
        </w:tc>
        <w:tc>
          <w:tcPr>
            <w:tcW w:w="8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2.76</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43"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w:t>
            </w:r>
          </w:p>
        </w:tc>
        <w:tc>
          <w:tcPr>
            <w:tcW w:w="3723"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科学技术支出</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657.49</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654.73</w:t>
            </w:r>
          </w:p>
        </w:tc>
        <w:tc>
          <w:tcPr>
            <w:tcW w:w="84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2.76</w:t>
            </w:r>
          </w:p>
        </w:tc>
      </w:tr>
      <w:tr>
        <w:tblPrEx>
          <w:tblLayout w:type="fixed"/>
          <w:tblCellMar>
            <w:top w:w="0" w:type="dxa"/>
            <w:left w:w="108" w:type="dxa"/>
            <w:bottom w:w="0" w:type="dxa"/>
            <w:right w:w="108" w:type="dxa"/>
          </w:tblCellMar>
        </w:tblPrEx>
        <w:trPr>
          <w:trHeight w:val="1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科学技术管理事务</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468.38</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468.38</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226"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2060101</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行政运行</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12"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2060199</w:t>
            </w:r>
          </w:p>
        </w:tc>
        <w:tc>
          <w:tcPr>
            <w:tcW w:w="3723"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其他科学技术管理事务支出</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c>
          <w:tcPr>
            <w:tcW w:w="84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12"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20607</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科学技术普及</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87"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2060702</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科普活动</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13"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20699</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其他科学技术支出</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139.11　</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136.35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2069999</w:t>
            </w:r>
          </w:p>
        </w:tc>
        <w:tc>
          <w:tcPr>
            <w:tcW w:w="3723"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Arial"/>
                <w:color w:val="000000"/>
                <w:szCs w:val="21"/>
              </w:rPr>
            </w:pPr>
            <w:r>
              <w:rPr>
                <w:rFonts w:hint="eastAsia" w:ascii="仿宋_GB2312" w:eastAsia="仿宋_GB2312" w:cs="Arial"/>
                <w:color w:val="000000"/>
                <w:szCs w:val="21"/>
              </w:rPr>
              <w:t>其他科学技术支出</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139.11</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136.35</w:t>
            </w:r>
          </w:p>
        </w:tc>
        <w:tc>
          <w:tcPr>
            <w:tcW w:w="84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68"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社会保障和就业支出</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25"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行政事业单位离退休</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35.28　</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35.28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43"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2080505</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机关事业单位基本养老保险缴费支出</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27.50</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27.50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2080599</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其他行政事业单位离退休支出</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7.78　</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7.78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49"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20808</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抚恤</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68"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2080801</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死亡抚恤</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　</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31"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卫生健康支出</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131"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21011</w:t>
            </w:r>
          </w:p>
        </w:tc>
        <w:tc>
          <w:tcPr>
            <w:tcW w:w="3723"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行政事业单位医疗</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　</w:t>
            </w:r>
          </w:p>
        </w:tc>
        <w:tc>
          <w:tcPr>
            <w:tcW w:w="84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43"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2101103</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公务员医疗补助</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21012</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财政对基本医疗保险基金的补助</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168"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2101201</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财政对职工基本医疗保险基金的补助</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243"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w:t>
            </w:r>
          </w:p>
        </w:tc>
        <w:tc>
          <w:tcPr>
            <w:tcW w:w="3723"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207"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22999</w:t>
            </w:r>
          </w:p>
        </w:tc>
        <w:tc>
          <w:tcPr>
            <w:tcW w:w="3723"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84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6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224"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仿宋_GB2312" w:eastAsia="仿宋_GB2312" w:cs="Arial"/>
                <w:color w:val="000000"/>
                <w:szCs w:val="21"/>
              </w:rPr>
            </w:pPr>
            <w:r>
              <w:rPr>
                <w:rFonts w:hint="eastAsia" w:ascii="仿宋_GB2312" w:eastAsia="仿宋_GB2312" w:cs="Arial"/>
                <w:color w:val="000000"/>
                <w:szCs w:val="21"/>
              </w:rPr>
              <w:t>2299901</w:t>
            </w:r>
          </w:p>
        </w:tc>
        <w:tc>
          <w:tcPr>
            <w:tcW w:w="3723" w:type="dxa"/>
            <w:tcBorders>
              <w:top w:val="single" w:color="auto" w:sz="4" w:space="0"/>
              <w:left w:val="nil"/>
              <w:bottom w:val="single" w:color="auto" w:sz="8" w:space="0"/>
              <w:right w:val="single" w:color="auto" w:sz="4" w:space="0"/>
            </w:tcBorders>
            <w:shd w:val="clear" w:color="auto" w:fill="auto"/>
            <w:vAlign w:val="center"/>
          </w:tcPr>
          <w:p>
            <w:pPr>
              <w:rPr>
                <w:rFonts w:ascii="仿宋_GB2312" w:eastAsia="仿宋_GB2312" w:cs="Arial"/>
                <w:color w:val="000000"/>
                <w:szCs w:val="21"/>
              </w:rPr>
            </w:pPr>
            <w:r>
              <w:rPr>
                <w:rFonts w:hint="eastAsia" w:ascii="仿宋_GB2312" w:eastAsia="仿宋_GB2312" w:cs="Arial"/>
                <w:color w:val="000000"/>
                <w:szCs w:val="21"/>
              </w:rPr>
              <w:t>其他支出</w:t>
            </w:r>
          </w:p>
        </w:tc>
        <w:tc>
          <w:tcPr>
            <w:tcW w:w="1134" w:type="dxa"/>
            <w:tcBorders>
              <w:top w:val="single" w:color="auto" w:sz="4" w:space="0"/>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　</w:t>
            </w:r>
          </w:p>
        </w:tc>
        <w:tc>
          <w:tcPr>
            <w:tcW w:w="1134" w:type="dxa"/>
            <w:tcBorders>
              <w:top w:val="single" w:color="auto" w:sz="4" w:space="0"/>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　</w:t>
            </w:r>
          </w:p>
        </w:tc>
        <w:tc>
          <w:tcPr>
            <w:tcW w:w="846" w:type="dxa"/>
            <w:tcBorders>
              <w:top w:val="single" w:color="auto" w:sz="4" w:space="0"/>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765" w:type="dxa"/>
            <w:tcBorders>
              <w:top w:val="single" w:color="auto" w:sz="4" w:space="0"/>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615" w:hRule="atLeast"/>
          <w:jc w:val="center"/>
        </w:trPr>
        <w:tc>
          <w:tcPr>
            <w:tcW w:w="13898"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 xml:space="preserve">永州市科学技术局    </w:t>
      </w:r>
      <w:r>
        <w:rPr>
          <w:rFonts w:ascii="Times New Roman" w:hAnsi="Times New Roman" w:eastAsia="仿宋_GB2312" w:cs="Times New Roman"/>
          <w:color w:val="000000"/>
          <w:kern w:val="0"/>
          <w:sz w:val="20"/>
          <w:szCs w:val="20"/>
        </w:rPr>
        <w:t xml:space="preserve">                                                                                                     公开03表</w:t>
      </w:r>
    </w:p>
    <w:p>
      <w:pPr>
        <w:widowControl/>
        <w:spacing w:line="400" w:lineRule="exact"/>
        <w:ind w:firstLine="13400" w:firstLineChars="67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3773"/>
        <w:gridCol w:w="1134"/>
        <w:gridCol w:w="1417"/>
        <w:gridCol w:w="1134"/>
        <w:gridCol w:w="1236"/>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48" w:hRule="atLeast"/>
          <w:jc w:val="center"/>
        </w:trPr>
        <w:tc>
          <w:tcPr>
            <w:tcW w:w="487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3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1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13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23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77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1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2"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377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1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3" w:hRule="atLeast"/>
          <w:jc w:val="center"/>
        </w:trPr>
        <w:tc>
          <w:tcPr>
            <w:tcW w:w="487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3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17"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3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3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12" w:hRule="atLeast"/>
          <w:jc w:val="center"/>
        </w:trPr>
        <w:tc>
          <w:tcPr>
            <w:tcW w:w="487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3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716.34</w:t>
            </w:r>
          </w:p>
        </w:tc>
        <w:tc>
          <w:tcPr>
            <w:tcW w:w="141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424.23</w:t>
            </w:r>
          </w:p>
        </w:tc>
        <w:tc>
          <w:tcPr>
            <w:tcW w:w="113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292.11</w:t>
            </w:r>
          </w:p>
        </w:tc>
        <w:tc>
          <w:tcPr>
            <w:tcW w:w="1236"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1" w:hRule="atLeast"/>
          <w:jc w:val="center"/>
        </w:trPr>
        <w:tc>
          <w:tcPr>
            <w:tcW w:w="1102" w:type="dxa"/>
            <w:tcBorders>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w:t>
            </w:r>
          </w:p>
        </w:tc>
        <w:tc>
          <w:tcPr>
            <w:tcW w:w="3773" w:type="dxa"/>
            <w:tcBorders>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科学技术支出</w:t>
            </w:r>
          </w:p>
        </w:tc>
        <w:tc>
          <w:tcPr>
            <w:tcW w:w="1134"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657.49</w:t>
            </w:r>
          </w:p>
        </w:tc>
        <w:tc>
          <w:tcPr>
            <w:tcW w:w="1417"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1134" w:type="dxa"/>
            <w:tcBorders>
              <w:bottom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292.11</w:t>
            </w:r>
          </w:p>
        </w:tc>
        <w:tc>
          <w:tcPr>
            <w:tcW w:w="1236"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985"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8"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科学技术管理事务</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468.38</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c>
          <w:tcPr>
            <w:tcW w:w="1236" w:type="dxa"/>
            <w:tcBorders>
              <w:top w:val="single" w:color="auto" w:sz="4" w:space="0"/>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9"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2060101</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行政运行</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2060199</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其他科学技术管理事务支出</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3"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20607</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科学技术普及</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3"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2060702</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科普活动</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20699</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其他科学技术支出</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139.11</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134" w:type="dxa"/>
            <w:tcBorders>
              <w:top w:val="single" w:color="auto" w:sz="4" w:space="0"/>
              <w:bottom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139.11</w:t>
            </w: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3"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2069999</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其他科学技术支出</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139.11</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134" w:type="dxa"/>
            <w:tcBorders>
              <w:top w:val="single" w:color="auto" w:sz="4" w:space="0"/>
              <w:bottom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139.11</w:t>
            </w: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9"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社会保障和就业支出</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p>
        </w:tc>
        <w:tc>
          <w:tcPr>
            <w:tcW w:w="1134"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行政事业单位离退休</w:t>
            </w:r>
          </w:p>
        </w:tc>
        <w:tc>
          <w:tcPr>
            <w:tcW w:w="1134"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35.28</w:t>
            </w:r>
          </w:p>
        </w:tc>
        <w:tc>
          <w:tcPr>
            <w:tcW w:w="1417"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35.28</w:t>
            </w:r>
          </w:p>
        </w:tc>
        <w:tc>
          <w:tcPr>
            <w:tcW w:w="1134"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36"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3"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2080505</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机关事业单位基本养老保险缴费支出</w:t>
            </w:r>
          </w:p>
        </w:tc>
        <w:tc>
          <w:tcPr>
            <w:tcW w:w="1134"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27.50</w:t>
            </w:r>
          </w:p>
        </w:tc>
        <w:tc>
          <w:tcPr>
            <w:tcW w:w="1417"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27.50</w:t>
            </w:r>
          </w:p>
        </w:tc>
        <w:tc>
          <w:tcPr>
            <w:tcW w:w="1134" w:type="dxa"/>
            <w:tcBorders>
              <w:bottom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36"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985"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0"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2080599</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其他行政事业单位离退休支出</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7.78</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7.78</w:t>
            </w:r>
          </w:p>
        </w:tc>
        <w:tc>
          <w:tcPr>
            <w:tcW w:w="1134" w:type="dxa"/>
            <w:tcBorders>
              <w:top w:val="single" w:color="auto" w:sz="4" w:space="0"/>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6"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20808</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抚恤</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1134" w:type="dxa"/>
            <w:tcBorders>
              <w:top w:val="single" w:color="auto" w:sz="4" w:space="0"/>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6"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2080801</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死亡抚恤</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1134" w:type="dxa"/>
            <w:tcBorders>
              <w:top w:val="single" w:color="auto" w:sz="4" w:space="0"/>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3" w:hRule="atLeast"/>
          <w:jc w:val="center"/>
        </w:trPr>
        <w:tc>
          <w:tcPr>
            <w:tcW w:w="1102"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w:t>
            </w:r>
          </w:p>
        </w:tc>
        <w:tc>
          <w:tcPr>
            <w:tcW w:w="3773" w:type="dxa"/>
            <w:tcBorders>
              <w:top w:val="single" w:color="auto" w:sz="4" w:space="0"/>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卫生健康支出</w:t>
            </w:r>
          </w:p>
        </w:tc>
        <w:tc>
          <w:tcPr>
            <w:tcW w:w="1134"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1417"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1134" w:type="dxa"/>
            <w:tcBorders>
              <w:top w:val="single" w:color="auto" w:sz="4" w:space="0"/>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985"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0" w:hRule="atLeast"/>
          <w:jc w:val="center"/>
        </w:trPr>
        <w:tc>
          <w:tcPr>
            <w:tcW w:w="1102" w:type="dxa"/>
            <w:tcBorders>
              <w:top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21011</w:t>
            </w:r>
          </w:p>
        </w:tc>
        <w:tc>
          <w:tcPr>
            <w:tcW w:w="3773" w:type="dxa"/>
            <w:tcBorders>
              <w:top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行政事业单位医疗</w:t>
            </w:r>
          </w:p>
        </w:tc>
        <w:tc>
          <w:tcPr>
            <w:tcW w:w="1134"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1417"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1134" w:type="dxa"/>
            <w:tcBorders>
              <w:top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4" w:hRule="atLeast"/>
          <w:jc w:val="center"/>
        </w:trPr>
        <w:tc>
          <w:tcPr>
            <w:tcW w:w="1102" w:type="dxa"/>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2101103</w:t>
            </w:r>
          </w:p>
        </w:tc>
        <w:tc>
          <w:tcPr>
            <w:tcW w:w="3773" w:type="dxa"/>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公务员医疗补助</w:t>
            </w:r>
          </w:p>
        </w:tc>
        <w:tc>
          <w:tcPr>
            <w:tcW w:w="1134" w:type="dxa"/>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1417" w:type="dxa"/>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1134" w:type="dxa"/>
            <w:shd w:val="clear" w:color="auto" w:fill="auto"/>
            <w:vAlign w:val="center"/>
          </w:tcPr>
          <w:p>
            <w:pPr>
              <w:widowControl/>
              <w:jc w:val="right"/>
              <w:rPr>
                <w:rFonts w:ascii="Times New Roman" w:hAnsi="Times New Roman" w:eastAsia="仿宋_GB2312" w:cs="Times New Roman"/>
                <w:kern w:val="0"/>
                <w:szCs w:val="21"/>
              </w:rPr>
            </w:pPr>
          </w:p>
        </w:tc>
        <w:tc>
          <w:tcPr>
            <w:tcW w:w="1236"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9" w:hRule="atLeast"/>
          <w:jc w:val="center"/>
        </w:trPr>
        <w:tc>
          <w:tcPr>
            <w:tcW w:w="1102" w:type="dxa"/>
            <w:tcBorders>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21012</w:t>
            </w:r>
          </w:p>
        </w:tc>
        <w:tc>
          <w:tcPr>
            <w:tcW w:w="3773" w:type="dxa"/>
            <w:tcBorders>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财政对基本医疗保险基金的补助</w:t>
            </w:r>
          </w:p>
        </w:tc>
        <w:tc>
          <w:tcPr>
            <w:tcW w:w="1134"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1417"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1134" w:type="dxa"/>
            <w:tcBorders>
              <w:bottom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36"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985"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1102" w:type="dxa"/>
            <w:tcBorders>
              <w:top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2101201</w:t>
            </w:r>
          </w:p>
        </w:tc>
        <w:tc>
          <w:tcPr>
            <w:tcW w:w="3773" w:type="dxa"/>
            <w:tcBorders>
              <w:top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财政对职工基本医疗保险基金的补助</w:t>
            </w:r>
          </w:p>
        </w:tc>
        <w:tc>
          <w:tcPr>
            <w:tcW w:w="1134"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1417"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1134" w:type="dxa"/>
            <w:tcBorders>
              <w:top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0" w:hRule="atLeast"/>
          <w:jc w:val="center"/>
        </w:trPr>
        <w:tc>
          <w:tcPr>
            <w:tcW w:w="1102" w:type="dxa"/>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w:t>
            </w:r>
          </w:p>
        </w:tc>
        <w:tc>
          <w:tcPr>
            <w:tcW w:w="3773" w:type="dxa"/>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1134" w:type="dxa"/>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417" w:type="dxa"/>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134" w:type="dxa"/>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36"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7" w:hRule="atLeast"/>
          <w:jc w:val="center"/>
        </w:trPr>
        <w:tc>
          <w:tcPr>
            <w:tcW w:w="1102" w:type="dxa"/>
            <w:tcBorders>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22999</w:t>
            </w:r>
          </w:p>
        </w:tc>
        <w:tc>
          <w:tcPr>
            <w:tcW w:w="3773" w:type="dxa"/>
            <w:tcBorders>
              <w:bottom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1134"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417" w:type="dxa"/>
            <w:tcBorders>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134" w:type="dxa"/>
            <w:tcBorders>
              <w:bottom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36"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985"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tcBorders>
              <w:bottom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1102" w:type="dxa"/>
            <w:tcBorders>
              <w:top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2299901</w:t>
            </w:r>
          </w:p>
        </w:tc>
        <w:tc>
          <w:tcPr>
            <w:tcW w:w="3773" w:type="dxa"/>
            <w:tcBorders>
              <w:top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1134"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417"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134" w:type="dxa"/>
            <w:tcBorders>
              <w:top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236"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308" w:type="dxa"/>
            <w:tcBorders>
              <w:top w:val="single" w:color="auto" w:sz="4" w:space="0"/>
            </w:tcBorders>
            <w:shd w:val="clear" w:color="auto" w:fill="auto"/>
            <w:vAlign w:val="center"/>
          </w:tcPr>
          <w:p>
            <w:pPr>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永州市科学技术局</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w:t>
            </w:r>
          </w:p>
        </w:tc>
        <w:tc>
          <w:tcPr>
            <w:tcW w:w="1880" w:type="dxa"/>
            <w:shd w:val="clear" w:color="auto" w:fill="auto"/>
            <w:vAlign w:val="center"/>
          </w:tcPr>
          <w:p>
            <w:pPr>
              <w:widowControl/>
              <w:jc w:val="center"/>
              <w:rPr>
                <w:rFonts w:ascii="仿宋_GB2312"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二、外交支出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w:t>
            </w:r>
          </w:p>
        </w:tc>
        <w:tc>
          <w:tcPr>
            <w:tcW w:w="1880" w:type="dxa"/>
            <w:shd w:val="clear" w:color="auto" w:fill="auto"/>
            <w:vAlign w:val="center"/>
          </w:tcPr>
          <w:p>
            <w:pPr>
              <w:widowControl/>
              <w:jc w:val="center"/>
              <w:rPr>
                <w:rFonts w:ascii="仿宋_GB2312"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三、国防支出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w:t>
            </w:r>
          </w:p>
        </w:tc>
        <w:tc>
          <w:tcPr>
            <w:tcW w:w="1880" w:type="dxa"/>
            <w:shd w:val="clear" w:color="auto" w:fill="auto"/>
            <w:vAlign w:val="center"/>
          </w:tcPr>
          <w:p>
            <w:pPr>
              <w:widowControl/>
              <w:jc w:val="center"/>
              <w:rPr>
                <w:rFonts w:ascii="仿宋_GB2312"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四、公共安全支出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w:t>
            </w:r>
          </w:p>
        </w:tc>
        <w:tc>
          <w:tcPr>
            <w:tcW w:w="1880" w:type="dxa"/>
            <w:shd w:val="clear" w:color="auto" w:fill="auto"/>
            <w:vAlign w:val="center"/>
          </w:tcPr>
          <w:p>
            <w:pPr>
              <w:widowControl/>
              <w:jc w:val="center"/>
              <w:rPr>
                <w:rFonts w:ascii="仿宋_GB2312"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五、教育支出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w:t>
            </w:r>
          </w:p>
        </w:tc>
        <w:tc>
          <w:tcPr>
            <w:tcW w:w="1880" w:type="dxa"/>
            <w:shd w:val="clear" w:color="auto" w:fill="auto"/>
            <w:vAlign w:val="center"/>
          </w:tcPr>
          <w:p>
            <w:pPr>
              <w:widowControl/>
              <w:jc w:val="center"/>
              <w:rPr>
                <w:rFonts w:ascii="仿宋_GB2312"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六、科学技术支出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w:t>
            </w:r>
          </w:p>
        </w:tc>
        <w:tc>
          <w:tcPr>
            <w:tcW w:w="188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654.73</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654.73</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bottom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jc w:val="left"/>
              <w:rPr>
                <w:rFonts w:ascii="仿宋_GB2312" w:hAnsi="宋体" w:eastAsia="仿宋_GB2312" w:cs="Arial"/>
                <w:color w:val="000000"/>
                <w:szCs w:val="21"/>
              </w:rPr>
            </w:pPr>
            <w:r>
              <w:rPr>
                <w:rFonts w:hint="eastAsia" w:ascii="仿宋_GB2312" w:eastAsia="仿宋_GB2312" w:cs="Arial"/>
                <w:color w:val="000000"/>
                <w:szCs w:val="21"/>
              </w:rPr>
              <w:t>七、文化旅游体育与传媒支出</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w:t>
            </w:r>
          </w:p>
        </w:tc>
        <w:tc>
          <w:tcPr>
            <w:tcW w:w="1880" w:type="dxa"/>
            <w:shd w:val="clear" w:color="auto" w:fill="auto"/>
            <w:vAlign w:val="center"/>
          </w:tcPr>
          <w:p>
            <w:pPr>
              <w:widowControl/>
              <w:jc w:val="center"/>
              <w:rPr>
                <w:rFonts w:ascii="仿宋_GB2312"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7" w:hRule="atLeast"/>
          <w:jc w:val="center"/>
        </w:trPr>
        <w:tc>
          <w:tcPr>
            <w:tcW w:w="2994" w:type="dxa"/>
            <w:tcBorders>
              <w:top w:val="single" w:color="auto" w:sz="4" w:space="0"/>
              <w:bottom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tcBorders>
              <w:bottom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tcBorders>
              <w:bottom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tcBorders>
              <w:bottom w:val="single" w:color="auto" w:sz="4" w:space="0"/>
            </w:tcBorders>
            <w:shd w:val="clear" w:color="auto" w:fill="auto"/>
            <w:vAlign w:val="center"/>
          </w:tcPr>
          <w:p>
            <w:pPr>
              <w:jc w:val="left"/>
              <w:rPr>
                <w:rFonts w:ascii="仿宋_GB2312" w:hAnsi="宋体" w:eastAsia="仿宋_GB2312" w:cs="Arial"/>
                <w:color w:val="000000"/>
                <w:szCs w:val="21"/>
              </w:rPr>
            </w:pPr>
            <w:r>
              <w:rPr>
                <w:rFonts w:hint="eastAsia" w:ascii="仿宋_GB2312" w:eastAsia="仿宋_GB2312" w:cs="Arial"/>
                <w:color w:val="000000"/>
                <w:szCs w:val="21"/>
              </w:rPr>
              <w:t>八、社会保障和就业支出</w:t>
            </w:r>
          </w:p>
        </w:tc>
        <w:tc>
          <w:tcPr>
            <w:tcW w:w="430" w:type="dxa"/>
            <w:tcBorders>
              <w:bottom w:val="single" w:color="auto" w:sz="4" w:space="0"/>
            </w:tcBorders>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24</w:t>
            </w:r>
          </w:p>
        </w:tc>
        <w:tc>
          <w:tcPr>
            <w:tcW w:w="1880" w:type="dxa"/>
            <w:tcBorders>
              <w:bottom w:val="single" w:color="auto" w:sz="4" w:space="0"/>
            </w:tcBorders>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36.71</w:t>
            </w:r>
          </w:p>
        </w:tc>
        <w:tc>
          <w:tcPr>
            <w:tcW w:w="1660" w:type="dxa"/>
            <w:tcBorders>
              <w:bottom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r>
              <w:rPr>
                <w:rFonts w:ascii="Times New Roman" w:hAnsi="Times New Roman" w:eastAsia="仿宋_GB2312" w:cs="Times New Roman"/>
                <w:kern w:val="0"/>
                <w:szCs w:val="21"/>
              </w:rPr>
              <w:t>　</w:t>
            </w:r>
          </w:p>
        </w:tc>
        <w:tc>
          <w:tcPr>
            <w:tcW w:w="1572" w:type="dxa"/>
            <w:tcBorders>
              <w:bottom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2" w:hRule="atLeast"/>
          <w:jc w:val="center"/>
        </w:trPr>
        <w:tc>
          <w:tcPr>
            <w:tcW w:w="2994" w:type="dxa"/>
            <w:tcBorders>
              <w:top w:val="single" w:color="auto" w:sz="4" w:space="0"/>
              <w:bottom w:val="single" w:color="auto" w:sz="4" w:space="0"/>
            </w:tcBorders>
            <w:shd w:val="clear" w:color="auto" w:fill="auto"/>
            <w:vAlign w:val="center"/>
          </w:tcPr>
          <w:p>
            <w:pPr>
              <w:jc w:val="left"/>
              <w:rPr>
                <w:rFonts w:ascii="Times New Roman" w:hAnsi="Times New Roman" w:eastAsia="仿宋_GB2312" w:cs="Times New Roman"/>
                <w:kern w:val="0"/>
                <w:szCs w:val="21"/>
              </w:rPr>
            </w:pPr>
          </w:p>
        </w:tc>
        <w:tc>
          <w:tcPr>
            <w:tcW w:w="480"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880" w:type="dxa"/>
            <w:tcBorders>
              <w:top w:val="single" w:color="auto" w:sz="4" w:space="0"/>
              <w:bottom w:val="single" w:color="auto" w:sz="4" w:space="0"/>
            </w:tcBorders>
            <w:shd w:val="clear" w:color="auto" w:fill="auto"/>
            <w:vAlign w:val="center"/>
          </w:tcPr>
          <w:p>
            <w:pPr>
              <w:jc w:val="left"/>
              <w:rPr>
                <w:rFonts w:ascii="Times New Roman" w:hAnsi="Times New Roman" w:eastAsia="仿宋_GB2312" w:cs="Times New Roman"/>
                <w:kern w:val="0"/>
                <w:szCs w:val="21"/>
              </w:rPr>
            </w:pPr>
          </w:p>
        </w:tc>
        <w:tc>
          <w:tcPr>
            <w:tcW w:w="3761" w:type="dxa"/>
            <w:tcBorders>
              <w:top w:val="single" w:color="auto" w:sz="4" w:space="0"/>
              <w:bottom w:val="single" w:color="auto" w:sz="4" w:space="0"/>
            </w:tcBorders>
            <w:shd w:val="clear" w:color="auto" w:fill="auto"/>
            <w:vAlign w:val="center"/>
          </w:tcPr>
          <w:p>
            <w:pPr>
              <w:jc w:val="left"/>
              <w:rPr>
                <w:rFonts w:ascii="仿宋_GB2312" w:hAnsi="宋体" w:eastAsia="仿宋_GB2312" w:cs="Arial"/>
                <w:color w:val="000000"/>
                <w:szCs w:val="21"/>
              </w:rPr>
            </w:pPr>
            <w:r>
              <w:rPr>
                <w:rFonts w:hint="eastAsia" w:ascii="仿宋_GB2312" w:eastAsia="仿宋_GB2312" w:cs="Arial"/>
                <w:color w:val="000000"/>
                <w:szCs w:val="21"/>
              </w:rPr>
              <w:t>九、卫生健康支出</w:t>
            </w:r>
          </w:p>
        </w:tc>
        <w:tc>
          <w:tcPr>
            <w:tcW w:w="430" w:type="dxa"/>
            <w:tcBorders>
              <w:top w:val="single" w:color="auto" w:sz="4" w:space="0"/>
              <w:bottom w:val="single" w:color="auto" w:sz="4" w:space="0"/>
            </w:tcBorders>
            <w:shd w:val="clear" w:color="auto" w:fill="auto"/>
            <w:vAlign w:val="center"/>
          </w:tcPr>
          <w:p>
            <w:pPr>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25</w:t>
            </w:r>
          </w:p>
        </w:tc>
        <w:tc>
          <w:tcPr>
            <w:tcW w:w="1880" w:type="dxa"/>
            <w:tcBorders>
              <w:top w:val="single" w:color="auto" w:sz="4" w:space="0"/>
              <w:bottom w:val="single" w:color="auto" w:sz="4" w:space="0"/>
            </w:tcBorders>
            <w:shd w:val="clear" w:color="auto" w:fill="auto"/>
            <w:vAlign w:val="center"/>
          </w:tcPr>
          <w:p>
            <w:pPr>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15.14</w:t>
            </w:r>
          </w:p>
        </w:tc>
        <w:tc>
          <w:tcPr>
            <w:tcW w:w="1660"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1572"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6" w:hRule="atLeast"/>
          <w:jc w:val="center"/>
        </w:trPr>
        <w:tc>
          <w:tcPr>
            <w:tcW w:w="2994" w:type="dxa"/>
            <w:tcBorders>
              <w:top w:val="single" w:color="auto" w:sz="4" w:space="0"/>
              <w:bottom w:val="single" w:color="auto" w:sz="4" w:space="0"/>
            </w:tcBorders>
            <w:shd w:val="clear" w:color="auto" w:fill="auto"/>
            <w:vAlign w:val="center"/>
          </w:tcPr>
          <w:p>
            <w:pPr>
              <w:jc w:val="left"/>
              <w:rPr>
                <w:rFonts w:ascii="Times New Roman" w:hAnsi="Times New Roman" w:eastAsia="仿宋_GB2312" w:cs="Times New Roman"/>
                <w:kern w:val="0"/>
                <w:szCs w:val="21"/>
              </w:rPr>
            </w:pPr>
          </w:p>
        </w:tc>
        <w:tc>
          <w:tcPr>
            <w:tcW w:w="480"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1880" w:type="dxa"/>
            <w:tcBorders>
              <w:top w:val="single" w:color="auto" w:sz="4" w:space="0"/>
              <w:bottom w:val="single" w:color="auto" w:sz="4" w:space="0"/>
            </w:tcBorders>
            <w:shd w:val="clear" w:color="auto" w:fill="auto"/>
            <w:vAlign w:val="center"/>
          </w:tcPr>
          <w:p>
            <w:pPr>
              <w:jc w:val="left"/>
              <w:rPr>
                <w:rFonts w:ascii="Times New Roman" w:hAnsi="Times New Roman" w:eastAsia="仿宋_GB2312" w:cs="Times New Roman"/>
                <w:kern w:val="0"/>
                <w:szCs w:val="21"/>
              </w:rPr>
            </w:pPr>
          </w:p>
        </w:tc>
        <w:tc>
          <w:tcPr>
            <w:tcW w:w="3761" w:type="dxa"/>
            <w:tcBorders>
              <w:top w:val="single" w:color="auto" w:sz="4" w:space="0"/>
              <w:bottom w:val="single" w:color="auto" w:sz="4" w:space="0"/>
            </w:tcBorders>
            <w:shd w:val="clear" w:color="auto" w:fill="auto"/>
            <w:vAlign w:val="center"/>
          </w:tcPr>
          <w:p>
            <w:pPr>
              <w:jc w:val="left"/>
              <w:rPr>
                <w:rFonts w:ascii="仿宋_GB2312" w:hAnsi="宋体" w:eastAsia="仿宋_GB2312" w:cs="Arial"/>
                <w:color w:val="000000"/>
                <w:szCs w:val="21"/>
              </w:rPr>
            </w:pPr>
            <w:r>
              <w:rPr>
                <w:rFonts w:hint="eastAsia" w:ascii="仿宋_GB2312" w:eastAsia="仿宋_GB2312" w:cs="Arial"/>
                <w:color w:val="000000"/>
                <w:szCs w:val="21"/>
              </w:rPr>
              <w:t>十、……</w:t>
            </w:r>
          </w:p>
        </w:tc>
        <w:tc>
          <w:tcPr>
            <w:tcW w:w="430" w:type="dxa"/>
            <w:tcBorders>
              <w:top w:val="single" w:color="auto" w:sz="4" w:space="0"/>
              <w:bottom w:val="single" w:color="auto" w:sz="4" w:space="0"/>
            </w:tcBorders>
            <w:shd w:val="clear" w:color="auto" w:fill="auto"/>
            <w:vAlign w:val="center"/>
          </w:tcPr>
          <w:p>
            <w:pPr>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26</w:t>
            </w:r>
          </w:p>
        </w:tc>
        <w:tc>
          <w:tcPr>
            <w:tcW w:w="1880" w:type="dxa"/>
            <w:tcBorders>
              <w:top w:val="single" w:color="auto" w:sz="4" w:space="0"/>
              <w:bottom w:val="single" w:color="auto" w:sz="4" w:space="0"/>
            </w:tcBorders>
            <w:shd w:val="clear" w:color="auto" w:fill="auto"/>
            <w:vAlign w:val="center"/>
          </w:tcPr>
          <w:p>
            <w:pPr>
              <w:jc w:val="center"/>
              <w:rPr>
                <w:rFonts w:ascii="仿宋_GB2312" w:hAnsi="Times New Roman" w:eastAsia="仿宋_GB2312" w:cs="Times New Roman"/>
                <w:kern w:val="0"/>
                <w:szCs w:val="21"/>
              </w:rPr>
            </w:pPr>
          </w:p>
        </w:tc>
        <w:tc>
          <w:tcPr>
            <w:tcW w:w="1660"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1572" w:type="dxa"/>
            <w:tcBorders>
              <w:top w:val="single" w:color="auto" w:sz="4" w:space="0"/>
              <w:bottom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4" w:hRule="atLeast"/>
          <w:jc w:val="center"/>
        </w:trPr>
        <w:tc>
          <w:tcPr>
            <w:tcW w:w="2994" w:type="dxa"/>
            <w:tcBorders>
              <w:top w:val="single" w:color="auto" w:sz="4" w:space="0"/>
              <w:bottom w:val="single" w:color="auto" w:sz="4" w:space="0"/>
            </w:tcBorders>
            <w:shd w:val="clear" w:color="auto" w:fill="auto"/>
            <w:vAlign w:val="center"/>
          </w:tcPr>
          <w:p>
            <w:pPr>
              <w:jc w:val="left"/>
              <w:rPr>
                <w:rFonts w:ascii="Times New Roman" w:hAnsi="Times New Roman" w:eastAsia="仿宋_GB2312" w:cs="Times New Roman"/>
                <w:kern w:val="0"/>
                <w:szCs w:val="21"/>
              </w:rPr>
            </w:pPr>
          </w:p>
        </w:tc>
        <w:tc>
          <w:tcPr>
            <w:tcW w:w="480"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w:t>
            </w:r>
          </w:p>
        </w:tc>
        <w:tc>
          <w:tcPr>
            <w:tcW w:w="1880" w:type="dxa"/>
            <w:tcBorders>
              <w:top w:val="single" w:color="auto" w:sz="4" w:space="0"/>
            </w:tcBorders>
            <w:shd w:val="clear" w:color="auto" w:fill="auto"/>
            <w:vAlign w:val="center"/>
          </w:tcPr>
          <w:p>
            <w:pPr>
              <w:jc w:val="left"/>
              <w:rPr>
                <w:rFonts w:ascii="Times New Roman" w:hAnsi="Times New Roman" w:eastAsia="仿宋_GB2312" w:cs="Times New Roman"/>
                <w:kern w:val="0"/>
                <w:szCs w:val="21"/>
              </w:rPr>
            </w:pPr>
          </w:p>
        </w:tc>
        <w:tc>
          <w:tcPr>
            <w:tcW w:w="3761" w:type="dxa"/>
            <w:tcBorders>
              <w:top w:val="single" w:color="auto" w:sz="4" w:space="0"/>
            </w:tcBorders>
            <w:shd w:val="clear" w:color="auto" w:fill="auto"/>
            <w:vAlign w:val="center"/>
          </w:tcPr>
          <w:p>
            <w:pPr>
              <w:widowControl/>
              <w:jc w:val="left"/>
              <w:rPr>
                <w:rFonts w:ascii="仿宋_GB2312" w:eastAsia="仿宋_GB2312" w:cs="Times New Roman" w:hAnsiTheme="minorEastAsia"/>
                <w:bCs/>
                <w:kern w:val="0"/>
                <w:szCs w:val="21"/>
              </w:rPr>
            </w:pPr>
            <w:r>
              <w:rPr>
                <w:rFonts w:hint="eastAsia" w:ascii="仿宋_GB2312" w:eastAsia="仿宋_GB2312" w:cs="Times New Roman" w:hAnsiTheme="minorEastAsia"/>
                <w:bCs/>
                <w:kern w:val="0"/>
                <w:szCs w:val="21"/>
              </w:rPr>
              <w:t>二十二、其他支出</w:t>
            </w:r>
          </w:p>
        </w:tc>
        <w:tc>
          <w:tcPr>
            <w:tcW w:w="430" w:type="dxa"/>
            <w:tcBorders>
              <w:top w:val="single" w:color="auto" w:sz="4" w:space="0"/>
            </w:tcBorders>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27</w:t>
            </w:r>
          </w:p>
        </w:tc>
        <w:tc>
          <w:tcPr>
            <w:tcW w:w="1880" w:type="dxa"/>
            <w:tcBorders>
              <w:top w:val="single" w:color="auto" w:sz="4" w:space="0"/>
            </w:tcBorders>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7.00</w:t>
            </w:r>
          </w:p>
        </w:tc>
        <w:tc>
          <w:tcPr>
            <w:tcW w:w="1660"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572" w:type="dxa"/>
            <w:tcBorders>
              <w:top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28</w:t>
            </w:r>
          </w:p>
        </w:tc>
        <w:tc>
          <w:tcPr>
            <w:tcW w:w="1880" w:type="dxa"/>
            <w:shd w:val="clear" w:color="auto" w:fill="auto"/>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713.58</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713.58</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713.58</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320" w:type="dxa"/>
        <w:jc w:val="center"/>
        <w:tblInd w:w="0" w:type="dxa"/>
        <w:tblLayout w:type="fixed"/>
        <w:tblCellMar>
          <w:top w:w="0" w:type="dxa"/>
          <w:left w:w="108" w:type="dxa"/>
          <w:bottom w:w="0" w:type="dxa"/>
          <w:right w:w="108" w:type="dxa"/>
        </w:tblCellMar>
      </w:tblPr>
      <w:tblGrid>
        <w:gridCol w:w="1208"/>
        <w:gridCol w:w="3767"/>
        <w:gridCol w:w="2807"/>
        <w:gridCol w:w="3518"/>
        <w:gridCol w:w="3020"/>
      </w:tblGrid>
      <w:tr>
        <w:tblPrEx>
          <w:tblLayout w:type="fixed"/>
          <w:tblCellMar>
            <w:top w:w="0" w:type="dxa"/>
            <w:left w:w="108" w:type="dxa"/>
            <w:bottom w:w="0" w:type="dxa"/>
            <w:right w:w="108" w:type="dxa"/>
          </w:tblCellMar>
        </w:tblPrEx>
        <w:trPr>
          <w:trHeight w:val="90" w:hRule="atLeast"/>
          <w:jc w:val="center"/>
        </w:trPr>
        <w:tc>
          <w:tcPr>
            <w:tcW w:w="497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4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atLeast"/>
          <w:jc w:val="center"/>
        </w:trPr>
        <w:tc>
          <w:tcPr>
            <w:tcW w:w="120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12" w:hRule="atLeast"/>
          <w:jc w:val="center"/>
        </w:trPr>
        <w:tc>
          <w:tcPr>
            <w:tcW w:w="120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1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1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497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90" w:hRule="atLeast"/>
          <w:jc w:val="center"/>
        </w:trPr>
        <w:tc>
          <w:tcPr>
            <w:tcW w:w="497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w:t>
            </w:r>
          </w:p>
        </w:tc>
        <w:tc>
          <w:tcPr>
            <w:tcW w:w="376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科学技术支出</w:t>
            </w:r>
          </w:p>
        </w:tc>
        <w:tc>
          <w:tcPr>
            <w:tcW w:w="28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654.73</w:t>
            </w:r>
          </w:p>
        </w:tc>
        <w:tc>
          <w:tcPr>
            <w:tcW w:w="35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30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289.35</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科学技术管理事务</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468.38</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2060101</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行政运行</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365.38</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2060199</w:t>
            </w:r>
          </w:p>
        </w:tc>
        <w:tc>
          <w:tcPr>
            <w:tcW w:w="376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其他科学技术管理事务支出</w:t>
            </w:r>
          </w:p>
        </w:tc>
        <w:tc>
          <w:tcPr>
            <w:tcW w:w="28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c>
          <w:tcPr>
            <w:tcW w:w="35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103.00</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20607</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科学技术普及</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2060702</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科普活动</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20699</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其他科学技术支出</w:t>
            </w:r>
          </w:p>
        </w:tc>
        <w:tc>
          <w:tcPr>
            <w:tcW w:w="2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136.35</w:t>
            </w:r>
          </w:p>
        </w:tc>
        <w:tc>
          <w:tcPr>
            <w:tcW w:w="35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136.35</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2069999</w:t>
            </w:r>
          </w:p>
        </w:tc>
        <w:tc>
          <w:tcPr>
            <w:tcW w:w="376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其他科学技术支出</w:t>
            </w:r>
          </w:p>
        </w:tc>
        <w:tc>
          <w:tcPr>
            <w:tcW w:w="28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136.35</w:t>
            </w:r>
          </w:p>
        </w:tc>
        <w:tc>
          <w:tcPr>
            <w:tcW w:w="351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2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136.35</w:t>
            </w: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社会保障和就业支出</w:t>
            </w:r>
          </w:p>
        </w:tc>
        <w:tc>
          <w:tcPr>
            <w:tcW w:w="2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p>
        </w:tc>
        <w:tc>
          <w:tcPr>
            <w:tcW w:w="35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36.71</w:t>
            </w:r>
          </w:p>
        </w:tc>
        <w:tc>
          <w:tcPr>
            <w:tcW w:w="302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行政事业单位离退休</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35.28</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35.28</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2080505</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机关事业单位基本养老保险缴费支出</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27.50</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27.50</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2080599</w:t>
            </w:r>
          </w:p>
        </w:tc>
        <w:tc>
          <w:tcPr>
            <w:tcW w:w="376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其他行政事业单位离退休支出</w:t>
            </w:r>
          </w:p>
        </w:tc>
        <w:tc>
          <w:tcPr>
            <w:tcW w:w="28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7.78</w:t>
            </w:r>
          </w:p>
        </w:tc>
        <w:tc>
          <w:tcPr>
            <w:tcW w:w="35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7.78</w:t>
            </w:r>
          </w:p>
        </w:tc>
        <w:tc>
          <w:tcPr>
            <w:tcW w:w="30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20808</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抚恤</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2080801</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死亡抚恤</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w:t>
            </w:r>
          </w:p>
        </w:tc>
        <w:tc>
          <w:tcPr>
            <w:tcW w:w="376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卫生健康支出</w:t>
            </w:r>
          </w:p>
        </w:tc>
        <w:tc>
          <w:tcPr>
            <w:tcW w:w="28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351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15.14</w:t>
            </w:r>
          </w:p>
        </w:tc>
        <w:tc>
          <w:tcPr>
            <w:tcW w:w="302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21011</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行政事业单位医疗</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2101103</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公务员医疗补助</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2.44</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21012</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财政对基本医疗保险基金的补助</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2101201</w:t>
            </w:r>
          </w:p>
        </w:tc>
        <w:tc>
          <w:tcPr>
            <w:tcW w:w="376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财政对职工基本医疗保险基金的补助</w:t>
            </w:r>
          </w:p>
        </w:tc>
        <w:tc>
          <w:tcPr>
            <w:tcW w:w="28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35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12.70</w:t>
            </w:r>
          </w:p>
        </w:tc>
        <w:tc>
          <w:tcPr>
            <w:tcW w:w="30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22999</w:t>
            </w:r>
          </w:p>
        </w:tc>
        <w:tc>
          <w:tcPr>
            <w:tcW w:w="37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280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51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020" w:type="dxa"/>
            <w:tcBorders>
              <w:top w:val="single" w:color="auto" w:sz="4" w:space="0"/>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208"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2299901</w:t>
            </w:r>
          </w:p>
        </w:tc>
        <w:tc>
          <w:tcPr>
            <w:tcW w:w="3767" w:type="dxa"/>
            <w:tcBorders>
              <w:top w:val="single" w:color="auto" w:sz="4" w:space="0"/>
              <w:left w:val="nil"/>
              <w:bottom w:val="single" w:color="auto" w:sz="8" w:space="0"/>
              <w:right w:val="single" w:color="auto" w:sz="4" w:space="0"/>
            </w:tcBorders>
            <w:shd w:val="clear" w:color="auto" w:fill="auto"/>
            <w:vAlign w:val="center"/>
          </w:tcPr>
          <w:p>
            <w:pPr>
              <w:rPr>
                <w:rFonts w:ascii="仿宋_GB2312" w:hAnsi="宋体" w:eastAsia="仿宋_GB2312" w:cs="Arial"/>
                <w:color w:val="000000"/>
                <w:szCs w:val="21"/>
              </w:rPr>
            </w:pPr>
            <w:r>
              <w:rPr>
                <w:rFonts w:hint="eastAsia" w:ascii="仿宋_GB2312" w:eastAsia="仿宋_GB2312" w:cs="Arial"/>
                <w:color w:val="000000"/>
                <w:szCs w:val="21"/>
              </w:rPr>
              <w:t>其他支出</w:t>
            </w:r>
          </w:p>
        </w:tc>
        <w:tc>
          <w:tcPr>
            <w:tcW w:w="2807" w:type="dxa"/>
            <w:tcBorders>
              <w:top w:val="single" w:color="auto" w:sz="4" w:space="0"/>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518" w:type="dxa"/>
            <w:tcBorders>
              <w:top w:val="single" w:color="auto" w:sz="4" w:space="0"/>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020" w:type="dxa"/>
            <w:tcBorders>
              <w:top w:val="single" w:color="auto" w:sz="4" w:space="0"/>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90" w:hRule="atLeast"/>
          <w:jc w:val="center"/>
        </w:trPr>
        <w:tc>
          <w:tcPr>
            <w:tcW w:w="14320"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永州市科学技术局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311.28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94.30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110.54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55.32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59.28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3.35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80.78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9.72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27.50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12.70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10.76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18.65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7.78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7.00</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2.35</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329.93</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94.30</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永州市科学技术局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22.46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9.00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7.46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7.46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6.00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11.79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1.09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7.04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7.04</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3.66</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永州市科学技术局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说明：本单位没有政府性基金收入，也没有使用政府性基金安排的支出，故本表无数据。</w:t>
      </w:r>
    </w:p>
    <w:p>
      <w:pPr>
        <w:widowControl/>
        <w:jc w:val="left"/>
        <w:rPr>
          <w:rFonts w:hint="eastAsia" w:ascii="Times New Roman" w:hAnsi="Times New Roman" w:eastAsia="仿宋_GB2312" w:cs="Times New Roman"/>
          <w:kern w:val="0"/>
          <w:szCs w:val="21"/>
        </w:rPr>
      </w:pPr>
    </w:p>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p>
      <w:pPr>
        <w:pStyle w:val="10"/>
        <w:rPr>
          <w:sz w:val="72"/>
          <w:szCs w:val="72"/>
        </w:rPr>
        <w:sectPr>
          <w:pgSz w:w="16838" w:h="11906" w:orient="landscape"/>
          <w:pgMar w:top="720" w:right="720" w:bottom="426"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ind w:firstLine="640" w:firstLineChars="200"/>
        <w:rPr>
          <w:rFonts w:hAnsi="黑体"/>
          <w:b/>
          <w:sz w:val="32"/>
          <w:szCs w:val="32"/>
        </w:rPr>
      </w:pPr>
      <w:r>
        <w:rPr>
          <w:rFonts w:hint="eastAsia" w:hAnsi="黑体"/>
          <w:b/>
          <w:sz w:val="32"/>
          <w:szCs w:val="32"/>
        </w:rPr>
        <w:t>一、收入支出决算总体情况说明</w:t>
      </w:r>
    </w:p>
    <w:p>
      <w:pPr>
        <w:widowControl/>
        <w:spacing w:line="600" w:lineRule="exact"/>
        <w:ind w:firstLine="640" w:firstLineChars="200"/>
        <w:jc w:val="left"/>
        <w:rPr>
          <w:rFonts w:ascii="仿宋_GB2312" w:hAnsi="仿宋" w:eastAsia="仿宋_GB2312" w:cs="宋体"/>
          <w:color w:val="000000"/>
          <w:kern w:val="0"/>
          <w:sz w:val="32"/>
          <w:szCs w:val="32"/>
        </w:rPr>
      </w:pPr>
      <w:r>
        <w:rPr>
          <w:rFonts w:hint="eastAsia" w:ascii="仿宋_GB2312" w:hAnsi="Calibri" w:eastAsia="仿宋_GB2312" w:cs="Times New Roman"/>
          <w:sz w:val="32"/>
          <w:szCs w:val="32"/>
        </w:rPr>
        <w:t>201</w:t>
      </w:r>
      <w:r>
        <w:rPr>
          <w:rFonts w:hint="eastAsia" w:ascii="仿宋_GB2312" w:eastAsia="仿宋_GB2312"/>
          <w:sz w:val="32"/>
          <w:szCs w:val="32"/>
        </w:rPr>
        <w:t>9</w:t>
      </w:r>
      <w:r>
        <w:rPr>
          <w:rFonts w:hint="eastAsia" w:ascii="仿宋_GB2312" w:hAnsi="Calibri" w:eastAsia="仿宋_GB2312" w:cs="Times New Roman"/>
          <w:sz w:val="32"/>
          <w:szCs w:val="32"/>
        </w:rPr>
        <w:t>年部门收入</w:t>
      </w:r>
      <w:r>
        <w:rPr>
          <w:rFonts w:hint="eastAsia" w:ascii="仿宋_GB2312" w:hAnsi="Calibri" w:eastAsia="仿宋_GB2312" w:cs="Times New Roman"/>
          <w:sz w:val="32"/>
          <w:szCs w:val="32"/>
          <w:lang w:eastAsia="zh-CN"/>
        </w:rPr>
        <w:t>总计</w:t>
      </w:r>
      <w:r>
        <w:rPr>
          <w:rFonts w:hint="eastAsia" w:ascii="仿宋_GB2312" w:hAnsi="Calibri" w:eastAsia="仿宋_GB2312" w:cs="Times New Roman"/>
          <w:sz w:val="32"/>
          <w:szCs w:val="32"/>
          <w:lang w:val="en-US" w:eastAsia="zh-CN"/>
        </w:rPr>
        <w:t>716.34万元</w:t>
      </w:r>
      <w:r>
        <w:rPr>
          <w:rFonts w:hint="eastAsia" w:ascii="仿宋_GB2312" w:hAnsi="Calibri" w:eastAsia="仿宋_GB2312" w:cs="Times New Roman"/>
          <w:sz w:val="32"/>
          <w:szCs w:val="32"/>
        </w:rPr>
        <w:t>、支出</w:t>
      </w:r>
      <w:r>
        <w:rPr>
          <w:rFonts w:hint="eastAsia" w:ascii="仿宋_GB2312" w:eastAsia="仿宋_GB2312"/>
          <w:sz w:val="32"/>
          <w:szCs w:val="32"/>
        </w:rPr>
        <w:t>总计</w:t>
      </w:r>
      <w:r>
        <w:rPr>
          <w:rFonts w:hint="eastAsia" w:ascii="仿宋_GB2312" w:hAnsi="Calibri" w:eastAsia="仿宋_GB2312" w:cs="Times New Roman"/>
          <w:sz w:val="32"/>
          <w:szCs w:val="32"/>
        </w:rPr>
        <w:t>71</w:t>
      </w:r>
      <w:r>
        <w:rPr>
          <w:rFonts w:hint="eastAsia" w:ascii="仿宋_GB2312" w:eastAsia="仿宋_GB2312"/>
          <w:sz w:val="32"/>
          <w:szCs w:val="32"/>
        </w:rPr>
        <w:t>6.34</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2018年部门收入676.89万元，支出总计</w:t>
      </w:r>
      <w:r>
        <w:rPr>
          <w:rFonts w:hint="eastAsia" w:ascii="仿宋_GB2312" w:hAnsi="Calibri" w:eastAsia="仿宋_GB2312" w:cs="Times New Roman"/>
          <w:sz w:val="32"/>
          <w:szCs w:val="32"/>
        </w:rPr>
        <w:t>676.89万元</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2019年比2018年</w:t>
      </w:r>
      <w:r>
        <w:rPr>
          <w:rFonts w:hint="eastAsia" w:ascii="仿宋_GB2312" w:hAnsi="Calibri" w:eastAsia="仿宋_GB2312" w:cs="Times New Roman"/>
          <w:sz w:val="32"/>
          <w:szCs w:val="32"/>
        </w:rPr>
        <w:t>增加3</w:t>
      </w:r>
      <w:r>
        <w:rPr>
          <w:rFonts w:hint="eastAsia" w:ascii="仿宋_GB2312" w:eastAsia="仿宋_GB2312"/>
          <w:sz w:val="32"/>
          <w:szCs w:val="32"/>
        </w:rPr>
        <w:t>9.45</w:t>
      </w:r>
      <w:r>
        <w:rPr>
          <w:rFonts w:hint="eastAsia" w:ascii="仿宋_GB2312" w:hAnsi="Calibri" w:eastAsia="仿宋_GB2312" w:cs="Times New Roman"/>
          <w:sz w:val="32"/>
          <w:szCs w:val="32"/>
        </w:rPr>
        <w:t>万元，增幅为5.</w:t>
      </w:r>
      <w:r>
        <w:rPr>
          <w:rFonts w:hint="eastAsia" w:ascii="仿宋_GB2312" w:eastAsia="仿宋_GB2312"/>
          <w:sz w:val="32"/>
          <w:szCs w:val="32"/>
        </w:rPr>
        <w:t>83</w:t>
      </w:r>
      <w:r>
        <w:rPr>
          <w:rFonts w:hint="eastAsia" w:ascii="仿宋_GB2312" w:hAnsi="Calibri" w:eastAsia="仿宋_GB2312" w:cs="Times New Roman"/>
          <w:sz w:val="32"/>
          <w:szCs w:val="32"/>
        </w:rPr>
        <w:t>%。主要是由工资调标和工作经费增加引起。</w:t>
      </w:r>
    </w:p>
    <w:p>
      <w:pPr>
        <w:pStyle w:val="10"/>
        <w:ind w:firstLine="640" w:firstLineChars="200"/>
        <w:rPr>
          <w:rFonts w:hAnsi="黑体"/>
          <w:b/>
          <w:sz w:val="32"/>
          <w:szCs w:val="32"/>
        </w:rPr>
      </w:pPr>
      <w:r>
        <w:rPr>
          <w:rFonts w:hint="eastAsia" w:hAnsi="黑体"/>
          <w:b/>
          <w:sz w:val="32"/>
          <w:szCs w:val="32"/>
        </w:rPr>
        <w:t>二、收入决算情况说明</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2019年收入</w:t>
      </w:r>
      <w:r>
        <w:rPr>
          <w:rFonts w:hint="eastAsia" w:ascii="仿宋_GB2312" w:eastAsia="仿宋_GB2312"/>
          <w:sz w:val="32"/>
          <w:szCs w:val="32"/>
        </w:rPr>
        <w:t>总计</w:t>
      </w:r>
      <w:r>
        <w:rPr>
          <w:rFonts w:hint="eastAsia" w:ascii="仿宋_GB2312" w:hAnsi="Calibri" w:eastAsia="仿宋_GB2312" w:cs="Times New Roman"/>
          <w:sz w:val="32"/>
          <w:szCs w:val="32"/>
        </w:rPr>
        <w:t>为739.45万元，全部为公共财政拨款，其中市本级财政拨款713.58万元，占比96.5%；其他往来款0.76万元，占比0.1%，其他收入25.11万元，占比3.39%。按收入性质分类，行政运行经费388.49万元，占比52.54%；科技管理经费103万元，占比13.94%；科普活动经费50万元，占比6.76%；科技创新创业经费139.11万元，占比18.81%。社会保障和卫生健康保险等经费51.85万元，占比7.01%；其他收入7万元，占比0.95%。</w:t>
      </w:r>
    </w:p>
    <w:p>
      <w:pPr>
        <w:pStyle w:val="10"/>
        <w:ind w:firstLine="640" w:firstLineChars="200"/>
        <w:rPr>
          <w:rFonts w:hAnsi="黑体"/>
          <w:b/>
          <w:sz w:val="32"/>
          <w:szCs w:val="32"/>
        </w:rPr>
      </w:pPr>
      <w:r>
        <w:rPr>
          <w:rFonts w:hint="eastAsia" w:hAnsi="黑体"/>
          <w:b/>
          <w:sz w:val="32"/>
          <w:szCs w:val="32"/>
        </w:rPr>
        <w:t>三、支出决算情况说明</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 xml:space="preserve"> 2019年支出总计716.34万元，其中：基本支出424.23万元，占比59.22%，</w:t>
      </w:r>
      <w:r>
        <w:rPr>
          <w:rFonts w:hint="eastAsia" w:ascii="仿宋_GB2312" w:hAnsi="仿宋" w:eastAsia="仿宋_GB2312" w:cs="宋体"/>
          <w:color w:val="000000"/>
          <w:kern w:val="0"/>
          <w:sz w:val="32"/>
          <w:szCs w:val="32"/>
        </w:rPr>
        <w:t>系保障我局机构正常运转、完成日常工作任务而发生的各项支出。包括用于在职和退休人员基本工资、津贴补贴、养老保险、医疗保险缴费等人员经费以及办公费、印刷费、水电费、办公设备购置等日常公用经费。</w:t>
      </w:r>
      <w:r>
        <w:rPr>
          <w:rFonts w:hint="eastAsia" w:ascii="仿宋_GB2312" w:eastAsia="仿宋_GB2312"/>
          <w:sz w:val="32"/>
          <w:szCs w:val="32"/>
        </w:rPr>
        <w:t>项目支出292.11万元，占比40.78%，</w:t>
      </w:r>
      <w:r>
        <w:rPr>
          <w:rFonts w:hint="eastAsia" w:ascii="仿宋_GB2312" w:hAnsi="仿宋" w:eastAsia="仿宋_GB2312" w:cs="宋体"/>
          <w:color w:val="000000"/>
          <w:kern w:val="0"/>
          <w:sz w:val="32"/>
          <w:szCs w:val="32"/>
        </w:rPr>
        <w:t>是我局为完成全市科技工作而发生的支出，主要用于科技成果转化与扩散服务、农村城镇科普活动，科技计划管理，科技创新型建设项目等方面。</w:t>
      </w:r>
    </w:p>
    <w:p>
      <w:pPr>
        <w:pStyle w:val="10"/>
        <w:ind w:firstLine="640" w:firstLineChars="200"/>
        <w:rPr>
          <w:rFonts w:hAnsi="黑体"/>
          <w:b/>
          <w:sz w:val="32"/>
          <w:szCs w:val="32"/>
        </w:rPr>
      </w:pPr>
      <w:r>
        <w:rPr>
          <w:rFonts w:hint="eastAsia" w:hAnsi="黑体"/>
          <w:b/>
          <w:sz w:val="32"/>
          <w:szCs w:val="32"/>
        </w:rPr>
        <w:t>四、财政拨款收入支出决算总体情况说明</w:t>
      </w:r>
    </w:p>
    <w:p>
      <w:pPr>
        <w:snapToGrid w:val="0"/>
        <w:spacing w:line="600" w:lineRule="exact"/>
        <w:ind w:firstLine="640" w:firstLineChars="200"/>
        <w:rPr>
          <w:rFonts w:ascii="仿宋_GB2312" w:hAnsi="仿宋" w:eastAsia="仿宋_GB2312" w:cs="宋体"/>
          <w:color w:val="000000"/>
          <w:kern w:val="0"/>
          <w:sz w:val="32"/>
          <w:szCs w:val="32"/>
        </w:rPr>
      </w:pPr>
      <w:r>
        <w:rPr>
          <w:rFonts w:hint="eastAsia" w:ascii="仿宋_GB2312" w:eastAsia="仿宋_GB2312"/>
          <w:sz w:val="32"/>
          <w:szCs w:val="32"/>
        </w:rPr>
        <w:t>2019年部门财政拨款收入</w:t>
      </w:r>
      <w:r>
        <w:rPr>
          <w:rFonts w:hint="eastAsia" w:ascii="仿宋_GB2312" w:eastAsia="仿宋_GB2312"/>
          <w:sz w:val="32"/>
          <w:szCs w:val="32"/>
          <w:lang w:eastAsia="zh-CN"/>
        </w:rPr>
        <w:t>总计</w:t>
      </w:r>
      <w:r>
        <w:rPr>
          <w:rFonts w:hint="eastAsia" w:ascii="仿宋_GB2312" w:eastAsia="仿宋_GB2312"/>
          <w:sz w:val="32"/>
          <w:szCs w:val="32"/>
          <w:lang w:val="en-US" w:eastAsia="zh-CN"/>
        </w:rPr>
        <w:t>713.58万元</w:t>
      </w:r>
      <w:r>
        <w:rPr>
          <w:rFonts w:hint="eastAsia" w:ascii="仿宋_GB2312" w:eastAsia="仿宋_GB2312"/>
          <w:sz w:val="32"/>
          <w:szCs w:val="32"/>
        </w:rPr>
        <w:t>、支出总计713.58万元</w:t>
      </w:r>
      <w:r>
        <w:rPr>
          <w:rFonts w:hint="eastAsia" w:ascii="仿宋_GB2312" w:eastAsia="仿宋_GB2312"/>
          <w:sz w:val="32"/>
          <w:szCs w:val="32"/>
          <w:lang w:eastAsia="zh-CN"/>
        </w:rPr>
        <w:t>；</w:t>
      </w:r>
      <w:r>
        <w:rPr>
          <w:rFonts w:hint="eastAsia" w:ascii="仿宋_GB2312" w:eastAsia="仿宋_GB2312"/>
          <w:sz w:val="32"/>
          <w:szCs w:val="32"/>
          <w:lang w:val="en-US" w:eastAsia="zh-CN"/>
        </w:rPr>
        <w:t>2018年部门财政拨款收入总计676.89万元、支出总计</w:t>
      </w:r>
      <w:r>
        <w:rPr>
          <w:rFonts w:hint="eastAsia" w:ascii="仿宋_GB2312" w:eastAsia="仿宋_GB2312"/>
          <w:sz w:val="32"/>
          <w:szCs w:val="32"/>
        </w:rPr>
        <w:t>676.89万元</w:t>
      </w:r>
      <w:r>
        <w:rPr>
          <w:rFonts w:hint="eastAsia" w:ascii="仿宋_GB2312" w:eastAsia="仿宋_GB2312"/>
          <w:sz w:val="32"/>
          <w:szCs w:val="32"/>
          <w:lang w:eastAsia="zh-CN"/>
        </w:rPr>
        <w:t>。</w:t>
      </w:r>
      <w:r>
        <w:rPr>
          <w:rFonts w:hint="eastAsia" w:ascii="仿宋_GB2312" w:eastAsia="仿宋_GB2312"/>
          <w:sz w:val="32"/>
          <w:szCs w:val="32"/>
          <w:lang w:val="en-US" w:eastAsia="zh-CN"/>
        </w:rPr>
        <w:t>2019年比2018年</w:t>
      </w:r>
      <w:r>
        <w:rPr>
          <w:rFonts w:hint="eastAsia" w:ascii="仿宋_GB2312" w:eastAsia="仿宋_GB2312"/>
          <w:sz w:val="32"/>
          <w:szCs w:val="32"/>
        </w:rPr>
        <w:t>增加36.69万元，增幅为5.42%。</w:t>
      </w:r>
      <w:bookmarkStart w:id="2" w:name="_GoBack"/>
      <w:bookmarkEnd w:id="2"/>
      <w:r>
        <w:rPr>
          <w:rFonts w:hint="eastAsia" w:ascii="仿宋_GB2312" w:eastAsia="仿宋_GB2312"/>
          <w:sz w:val="32"/>
          <w:szCs w:val="32"/>
        </w:rPr>
        <w:t>主要</w:t>
      </w:r>
      <w:r>
        <w:rPr>
          <w:rFonts w:hint="eastAsia" w:ascii="仿宋_GB2312" w:hAnsi="仿宋" w:eastAsia="仿宋_GB2312" w:cs="宋体"/>
          <w:color w:val="000000"/>
          <w:kern w:val="0"/>
          <w:sz w:val="32"/>
          <w:szCs w:val="32"/>
        </w:rPr>
        <w:t>是由以下几方面原因引起：一是由于增人增资、发放综治奖金、市单项考核奖、退休人员生活补等，增加支出59.38万元；二是增加科普专项经费50万元，科普专项经费纳入了财政预算，未纳入本单位部门预算；三是代付政府性奖励（2018年统战工作先进奖励、产业项目建设年工作奖励）7万元、奖励纳入了财政预算，未纳入本单位部门预算；四是增加创新型省份建设项目经费136.35万元，创新创业项目经费纳入了财政预算，未纳入本单位部门预算。</w:t>
      </w:r>
    </w:p>
    <w:p>
      <w:pPr>
        <w:pStyle w:val="10"/>
        <w:ind w:firstLine="640" w:firstLineChars="20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widowControl/>
        <w:spacing w:line="60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sz w:val="32"/>
          <w:szCs w:val="32"/>
        </w:rPr>
        <w:t>2019年度财政拨款支出713.58万元，占本年支出合计的99.61%，与2018年相比，财政拨款支出增加36.69万元，增长5.42%，主要是因为由工资调标和工作经费增加引起。</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2019年度财政拨款支出713.58万元，主要用于以下方面：科学技术支出654.73万元，占91.75%；社会保障和就业支出36.71万元，占5.14%；卫生健康支出15.14万元，占2.12%；其他支出7.00万元，占0.98%。</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2019年度财政拨款支出年初预算数为460.85万元，支出决算数为713.58万元，完成年初预算的154.84%，其中：</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1、科学技术支出</w:t>
      </w:r>
    </w:p>
    <w:p>
      <w:pPr>
        <w:snapToGrid w:val="0"/>
        <w:spacing w:line="600" w:lineRule="exact"/>
        <w:ind w:firstLine="640" w:firstLineChars="200"/>
        <w:rPr>
          <w:rFonts w:ascii="仿宋_GB2312" w:hAnsi="仿宋" w:eastAsia="仿宋_GB2312" w:cs="宋体"/>
          <w:color w:val="000000"/>
          <w:kern w:val="0"/>
          <w:sz w:val="32"/>
          <w:szCs w:val="32"/>
        </w:rPr>
      </w:pPr>
      <w:r>
        <w:rPr>
          <w:rFonts w:hint="eastAsia" w:ascii="仿宋_GB2312" w:eastAsia="仿宋_GB2312" w:hAnsiTheme="minorEastAsia"/>
          <w:sz w:val="32"/>
          <w:szCs w:val="32"/>
        </w:rPr>
        <w:t>年初预算为460.85万元，支出决算为654.73万元，完成年初预算的142.07%，决算数大于年初预算数的主要原因是：</w:t>
      </w:r>
      <w:r>
        <w:rPr>
          <w:rFonts w:hint="eastAsia" w:ascii="仿宋_GB2312" w:hAnsi="仿宋" w:eastAsia="仿宋_GB2312" w:cs="宋体"/>
          <w:color w:val="000000"/>
          <w:kern w:val="0"/>
          <w:sz w:val="32"/>
          <w:szCs w:val="32"/>
        </w:rPr>
        <w:t>增加科普专项经费50万元，科普专项经费纳入了财政预算，未纳入本单位部门预算；增加创新型省份建设项目经费136.35万元，创新创业项目经费纳入了财政预算，未纳入本单位部门预算。</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2、社会保障和就业支出</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年初无预算，支出决算为36.71万元，决算数大于年初预算数的主要原因是：机关事业单位基本养老保险缴费27.5万元，提高退休人员退休费7.78万元，提高遗属生活补助标准1.43万元。</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3、卫生健康支出</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年初无预算，支出决算为15.14万元，决算数大于年初预算数的主要原因是：财政增加了职工基本医疗保险基金补助的标准。</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4、其他支出</w:t>
      </w:r>
    </w:p>
    <w:p>
      <w:pPr>
        <w:pStyle w:val="10"/>
        <w:ind w:firstLine="800" w:firstLineChars="250"/>
        <w:rPr>
          <w:rFonts w:ascii="仿宋_GB2312" w:hAnsi="仿宋" w:eastAsia="仿宋_GB2312" w:cs="宋体"/>
          <w:sz w:val="32"/>
          <w:szCs w:val="32"/>
        </w:rPr>
      </w:pPr>
      <w:r>
        <w:rPr>
          <w:rFonts w:hint="eastAsia" w:ascii="仿宋_GB2312" w:eastAsia="仿宋_GB2312" w:hAnsiTheme="minorEastAsia"/>
          <w:sz w:val="32"/>
          <w:szCs w:val="32"/>
        </w:rPr>
        <w:t>年初无预算，支出决算为7万元，决算数大于年初预算数的主要原因是：</w:t>
      </w:r>
      <w:r>
        <w:rPr>
          <w:rFonts w:hint="eastAsia" w:ascii="仿宋_GB2312" w:hAnsi="仿宋" w:eastAsia="仿宋_GB2312" w:cs="宋体"/>
          <w:sz w:val="32"/>
          <w:szCs w:val="32"/>
        </w:rPr>
        <w:t>代付政府性奖励（2018年统战工作先进奖励、产业项目建设年工作奖励）7万元、奖励纳入了财政预算，未纳入本单位部门预算。</w:t>
      </w:r>
    </w:p>
    <w:p>
      <w:pPr>
        <w:pStyle w:val="10"/>
        <w:ind w:firstLine="800" w:firstLineChars="25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2019年度财政拨款基本支出424.23万元，其中：人员经费329.93万元，占基本支出的77.78%,主要包括基本工资、津贴补贴、奖金、绩效工资、机关事业单位基本养老保险缴费、职工基本医疗保险缴费、其他工资福利支出、对个人和家庭的补助等；公用经费94.3万元，占基本支出的22.22%，主要包括办公费、印刷费、电费、差旅费、工会经费及其他交通费用。</w:t>
      </w:r>
    </w:p>
    <w:p>
      <w:pPr>
        <w:pStyle w:val="10"/>
        <w:ind w:firstLine="640" w:firstLineChars="200"/>
        <w:rPr>
          <w:rFonts w:hAnsi="黑体"/>
          <w:b/>
          <w:sz w:val="32"/>
          <w:szCs w:val="32"/>
        </w:rPr>
      </w:pPr>
      <w:r>
        <w:rPr>
          <w:rFonts w:hint="eastAsia" w:hAnsi="黑体"/>
          <w:b/>
          <w:sz w:val="32"/>
          <w:szCs w:val="32"/>
        </w:rPr>
        <w:t>七、一般公共预算财政拨款三公经费支出决算情况说明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“三公”经费财政拨款支出预算为22.46万元，支出决算为11.79万元，完成预算的52.49%，其中：</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因公出国（境）费支出预算为9万元，支出决算为1.09万元，完成预算的12.11%，决算数小于年初预算数的主要原因是本局2019年度减少了因公出国境的人数和次数，与上年相比减少增加7.36万元，减少81.78%,减少的主要原因是</w:t>
      </w:r>
      <w:r>
        <w:rPr>
          <w:rFonts w:hint="eastAsia" w:ascii="仿宋_GB2312" w:hAnsi="仿宋" w:eastAsia="仿宋_GB2312" w:cs="宋体"/>
          <w:sz w:val="32"/>
          <w:szCs w:val="32"/>
        </w:rPr>
        <w:t>2018年本局共有3人分别参加省科技厅组织的3个出国境培训团，开支经费8.45万元，2019年本局仅有2人分别参加省科技厅组织的2个出境考察团，开支经费1.09万元</w:t>
      </w:r>
      <w:r>
        <w:rPr>
          <w:rFonts w:hint="eastAsia" w:ascii="仿宋_GB2312" w:eastAsia="仿宋_GB2312" w:hAnsiTheme="minorEastAsia"/>
          <w:sz w:val="32"/>
          <w:szCs w:val="32"/>
        </w:rPr>
        <w:t>。</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公务接待费支出预算为6万元，支出决算为3.66万元，完成预算的61%，决算数小于年初预算数的主要原因是</w:t>
      </w:r>
      <w:r>
        <w:rPr>
          <w:rFonts w:hint="eastAsia" w:ascii="仿宋_GB2312" w:hAnsi="仿宋" w:eastAsia="仿宋_GB2312" w:cs="宋体"/>
          <w:sz w:val="32"/>
          <w:szCs w:val="32"/>
        </w:rPr>
        <w:t>公务接待数量减少</w:t>
      </w:r>
      <w:r>
        <w:rPr>
          <w:rFonts w:hint="eastAsia" w:ascii="仿宋_GB2312" w:eastAsia="仿宋_GB2312" w:hAnsiTheme="minorEastAsia"/>
          <w:sz w:val="32"/>
          <w:szCs w:val="32"/>
        </w:rPr>
        <w:t>，与上年相比减少2.34万元，减少39%,减少的主要原因是</w:t>
      </w:r>
      <w:r>
        <w:rPr>
          <w:rFonts w:hint="eastAsia" w:ascii="仿宋_GB2312" w:hAnsi="仿宋" w:eastAsia="仿宋_GB2312" w:cs="宋体"/>
          <w:sz w:val="32"/>
          <w:szCs w:val="32"/>
        </w:rPr>
        <w:t>开展了公务接待专项治理，严控接待标准。</w:t>
      </w:r>
    </w:p>
    <w:p>
      <w:pPr>
        <w:pStyle w:val="10"/>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公务用车购置费及运行维护费支出预算为7.04万元，支出决算为7.46万元，完成预算的94.37%，决算数小于年初预算数的主要原因是</w:t>
      </w:r>
      <w:r>
        <w:rPr>
          <w:rFonts w:hint="eastAsia" w:ascii="仿宋_GB2312" w:hAnsi="仿宋" w:eastAsia="仿宋_GB2312" w:cs="宋体"/>
          <w:sz w:val="32"/>
          <w:szCs w:val="32"/>
        </w:rPr>
        <w:t>坚持严格的管理制度</w:t>
      </w:r>
      <w:r>
        <w:rPr>
          <w:rFonts w:hint="eastAsia" w:ascii="仿宋_GB2312" w:eastAsia="仿宋_GB2312" w:hAnsiTheme="minorEastAsia"/>
          <w:sz w:val="32"/>
          <w:szCs w:val="32"/>
        </w:rPr>
        <w:t>，与上年相比减少0.45万元，减少6%,减少的主要原因是</w:t>
      </w:r>
      <w:r>
        <w:rPr>
          <w:rFonts w:hint="eastAsia" w:ascii="仿宋_GB2312" w:hAnsi="仿宋" w:eastAsia="仿宋_GB2312" w:cs="宋体"/>
          <w:sz w:val="32"/>
          <w:szCs w:val="32"/>
        </w:rPr>
        <w:t>全年没有购置、更换公务用车，公车运行管理方面继续坚持严格的管理制度</w:t>
      </w:r>
      <w:r>
        <w:rPr>
          <w:rFonts w:hint="eastAsia" w:ascii="仿宋_GB2312" w:eastAsia="仿宋_GB2312" w:hAnsiTheme="minorEastAsia"/>
          <w:sz w:val="32"/>
          <w:szCs w:val="32"/>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2019年度“三公”经费财政拨款支出决算中，公务接待费支出决算3.66万元，占31.04%,因公出国（境）费支出决算1.09万元，占9.25%,公务用车购置费及运行维护费支出决算7.04万元，占59.71%。其中：</w:t>
      </w:r>
    </w:p>
    <w:p>
      <w:pPr>
        <w:pStyle w:val="10"/>
        <w:ind w:firstLine="640" w:firstLineChars="200"/>
        <w:rPr>
          <w:rFonts w:ascii="仿宋_GB2312" w:eastAsia="仿宋_GB2312" w:hAnsiTheme="minorEastAsia"/>
          <w:b/>
          <w:sz w:val="32"/>
          <w:szCs w:val="32"/>
        </w:rPr>
      </w:pPr>
      <w:r>
        <w:rPr>
          <w:rFonts w:hint="eastAsia" w:ascii="仿宋_GB2312" w:eastAsia="仿宋_GB2312" w:hAnsiTheme="minorEastAsia"/>
          <w:sz w:val="32"/>
          <w:szCs w:val="32"/>
        </w:rPr>
        <w:t>1、因公出国（境）费支出决算为1.09万元，全年安排因公出国（境）团组2个，累计2人次,开支内容包括：</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参加在香港举办的2019年湖南-粤港澳大湾区投资贸易洽谈周科技场地活动支出0.85万元，主要用住宿、差旅补助及车票款。另外补发2017年赴香港参加省科技厅组织的港洽周活动支出0.24万元，主要是补发其伙食费、公杂费补助；</w:t>
      </w:r>
    </w:p>
    <w:p>
      <w:pPr>
        <w:pStyle w:val="10"/>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2、公务接待费支出决算为3.66万元，全年共接待来访团组25个、来宾270人次，主要是县区科工局汇报工作及相关对口业务部门来永调研等业务活动时发生的接待支出。</w:t>
      </w:r>
    </w:p>
    <w:p>
      <w:pPr>
        <w:ind w:firstLine="800" w:firstLineChars="250"/>
        <w:rPr>
          <w:rFonts w:ascii="仿宋_GB2312" w:eastAsia="仿宋_GB2312" w:cs="黑体" w:hAnsiTheme="minorEastAsia"/>
          <w:color w:val="000000"/>
          <w:kern w:val="0"/>
          <w:sz w:val="32"/>
          <w:szCs w:val="32"/>
        </w:rPr>
      </w:pPr>
      <w:r>
        <w:rPr>
          <w:rFonts w:hint="eastAsia" w:ascii="仿宋_GB2312" w:eastAsia="仿宋_GB2312" w:hAnsiTheme="minorEastAsia"/>
          <w:sz w:val="32"/>
          <w:szCs w:val="32"/>
        </w:rPr>
        <w:t>3、公务用车购置费及运行维护费支出决算为7.04万元，其中：公务用车购置费0万元</w:t>
      </w:r>
      <w:r>
        <w:rPr>
          <w:rFonts w:hint="eastAsia" w:ascii="仿宋_GB2312" w:eastAsia="仿宋_GB2312" w:hAnsiTheme="minorEastAsia"/>
          <w:color w:val="000000" w:themeColor="text1"/>
          <w:sz w:val="32"/>
          <w:szCs w:val="32"/>
        </w:rPr>
        <w:t>。</w:t>
      </w:r>
      <w:r>
        <w:rPr>
          <w:rFonts w:hint="eastAsia" w:ascii="仿宋_GB2312" w:eastAsia="仿宋_GB2312" w:hAnsiTheme="minorEastAsia"/>
          <w:sz w:val="32"/>
          <w:szCs w:val="32"/>
        </w:rPr>
        <w:t>公务用车运行维护费7.04万元，主要是公务用车的燃油费及保养、维修等支出，截止2019年12月31日，我单位开支财政拨款的公务用车保有量为1辆。</w:t>
      </w:r>
    </w:p>
    <w:p>
      <w:pPr>
        <w:pStyle w:val="10"/>
        <w:ind w:firstLine="640" w:firstLineChars="200"/>
        <w:rPr>
          <w:rFonts w:hAnsi="黑体"/>
          <w:b/>
          <w:sz w:val="32"/>
          <w:szCs w:val="32"/>
        </w:rPr>
      </w:pPr>
      <w:r>
        <w:rPr>
          <w:rFonts w:hint="eastAsia" w:hAnsi="黑体"/>
          <w:b/>
          <w:sz w:val="32"/>
          <w:szCs w:val="32"/>
        </w:rPr>
        <w:t>八、政府性基金预算收入支出决算情况</w:t>
      </w:r>
    </w:p>
    <w:p>
      <w:pPr>
        <w:pStyle w:val="10"/>
        <w:rPr>
          <w:rFonts w:ascii="仿宋_GB2312" w:eastAsia="仿宋_GB2312" w:hAnsiTheme="minorEastAsia"/>
          <w:i/>
          <w:color w:val="FF0000"/>
          <w:sz w:val="32"/>
          <w:szCs w:val="32"/>
        </w:rPr>
      </w:pPr>
      <w:r>
        <w:rPr>
          <w:rFonts w:hint="eastAsia" w:asciiTheme="minorEastAsia" w:hAnsiTheme="minorEastAsia" w:eastAsiaTheme="minorEastAsia"/>
          <w:sz w:val="32"/>
          <w:szCs w:val="32"/>
        </w:rPr>
        <w:t xml:space="preserve">    </w:t>
      </w:r>
      <w:r>
        <w:rPr>
          <w:rFonts w:hint="eastAsia" w:ascii="仿宋_GB2312" w:eastAsia="仿宋_GB2312" w:hAnsiTheme="minorEastAsia"/>
          <w:sz w:val="32"/>
          <w:szCs w:val="32"/>
        </w:rPr>
        <w:t xml:space="preserve"> 2019年度政府性基金预算财政拨款收入0万元；年初结转和结余0万元；支出0万元，其中基本支出0万元，项目支出0万元；年末结转和结余0万元。</w:t>
      </w:r>
    </w:p>
    <w:p>
      <w:pPr>
        <w:pStyle w:val="10"/>
        <w:ind w:firstLine="640" w:firstLineChars="200"/>
        <w:rPr>
          <w:rFonts w:hAnsi="黑体"/>
          <w:b/>
          <w:sz w:val="32"/>
          <w:szCs w:val="32"/>
        </w:rPr>
      </w:pPr>
      <w:r>
        <w:rPr>
          <w:rFonts w:hint="eastAsia" w:hAnsi="黑体"/>
          <w:b/>
          <w:sz w:val="32"/>
          <w:szCs w:val="32"/>
        </w:rPr>
        <w:t>九、关于2019年度预算绩效情况说明</w:t>
      </w:r>
    </w:p>
    <w:p>
      <w:pPr>
        <w:pStyle w:val="5"/>
        <w:shd w:val="clear" w:color="auto" w:fill="FFFFFF"/>
        <w:spacing w:before="0" w:beforeAutospacing="0" w:after="0" w:afterAutospacing="0" w:line="640" w:lineRule="exact"/>
        <w:ind w:firstLine="640"/>
        <w:rPr>
          <w:rFonts w:ascii="仿宋_GB2312" w:hAnsi="仿宋" w:eastAsia="仿宋_GB2312"/>
          <w:b/>
          <w:bCs/>
          <w:color w:val="000000"/>
          <w:sz w:val="30"/>
          <w:szCs w:val="30"/>
        </w:rPr>
      </w:pPr>
      <w:r>
        <w:rPr>
          <w:rFonts w:hint="eastAsia" w:ascii="仿宋_GB2312" w:hAnsi="仿宋" w:eastAsia="仿宋_GB2312"/>
          <w:b/>
          <w:bCs/>
          <w:color w:val="000000"/>
          <w:sz w:val="30"/>
          <w:szCs w:val="30"/>
        </w:rPr>
        <w:t>（一）预算绩效管理开展情况</w:t>
      </w:r>
    </w:p>
    <w:p>
      <w:pPr>
        <w:pStyle w:val="5"/>
        <w:shd w:val="clear" w:color="auto" w:fill="FFFFFF"/>
        <w:spacing w:before="0" w:beforeAutospacing="0" w:after="0" w:afterAutospacing="0" w:line="640" w:lineRule="exact"/>
        <w:ind w:firstLine="640"/>
        <w:rPr>
          <w:rFonts w:ascii="仿宋_GB2312" w:hAnsi="仿宋" w:eastAsia="仿宋_GB2312"/>
          <w:color w:val="555555"/>
          <w:sz w:val="32"/>
          <w:szCs w:val="32"/>
        </w:rPr>
      </w:pPr>
      <w:r>
        <w:rPr>
          <w:rFonts w:hint="eastAsia" w:ascii="仿宋_GB2312" w:hAnsi="仿宋" w:eastAsia="仿宋_GB2312"/>
          <w:b/>
          <w:bCs/>
          <w:color w:val="000000"/>
          <w:sz w:val="32"/>
          <w:szCs w:val="32"/>
        </w:rPr>
        <w:t>1、加强组织领导。</w:t>
      </w:r>
      <w:r>
        <w:rPr>
          <w:rFonts w:hint="eastAsia" w:ascii="仿宋_GB2312" w:hAnsi="仿宋" w:eastAsia="仿宋_GB2312"/>
          <w:color w:val="000000"/>
          <w:sz w:val="32"/>
          <w:szCs w:val="32"/>
        </w:rPr>
        <w:t>争取领导重视，我局召开党组会专题研究预算资金绩效评价管理工作，明确预算绩效管理工作职能小组和职责分工，确定预算绩效管理工作联络员，并将其作为部门日常性重要工作来抓。即设立了由局长欧阳树生任组长、分管副局长唐修峰任副组长、各业务科室负责人为成员的工作小组，下设办公室，由唐均仕同志为办公室主任，易晖同志为成员，具体负责日常预算和项目资金管理工作，确保绩效评价管理工作全面推进。</w:t>
      </w:r>
    </w:p>
    <w:p>
      <w:pPr>
        <w:snapToGrid w:val="0"/>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b/>
          <w:bCs/>
          <w:color w:val="000000"/>
          <w:sz w:val="32"/>
          <w:szCs w:val="32"/>
        </w:rPr>
        <w:t>2、加强制度建设。</w:t>
      </w:r>
      <w:r>
        <w:rPr>
          <w:rFonts w:hint="eastAsia" w:ascii="仿宋_GB2312" w:hAnsi="仿宋" w:eastAsia="仿宋_GB2312" w:cs="Times New Roman"/>
          <w:color w:val="000000"/>
          <w:sz w:val="32"/>
          <w:szCs w:val="32"/>
        </w:rPr>
        <w:t>根据财政局预算资金绩效评价管理办法和一系列文件精神，结合我局实际，细化考核指标，完善考核标准，进一步明确了绩效考核工作目标，明确了评价管理考核责任，使我局的各项工作有标准、有措施的稳步开展。</w:t>
      </w:r>
    </w:p>
    <w:p>
      <w:pPr>
        <w:snapToGrid w:val="0"/>
        <w:spacing w:line="600" w:lineRule="exact"/>
        <w:ind w:firstLine="640"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w:t>
      </w:r>
      <w:r>
        <w:rPr>
          <w:rFonts w:hint="eastAsia" w:ascii="仿宋_GB2312" w:hAnsi="仿宋" w:eastAsia="仿宋_GB2312"/>
          <w:b/>
          <w:sz w:val="32"/>
          <w:szCs w:val="32"/>
        </w:rPr>
        <w:t>二</w:t>
      </w:r>
      <w:r>
        <w:rPr>
          <w:rFonts w:hint="eastAsia" w:ascii="仿宋_GB2312" w:hAnsi="仿宋" w:eastAsia="仿宋_GB2312" w:cs="Times New Roman"/>
          <w:b/>
          <w:sz w:val="32"/>
          <w:szCs w:val="32"/>
        </w:rPr>
        <w:t>）绩效目标完成情况。</w:t>
      </w:r>
    </w:p>
    <w:p>
      <w:pPr>
        <w:widowControl/>
        <w:spacing w:line="600" w:lineRule="exact"/>
        <w:ind w:firstLine="640" w:firstLineChars="200"/>
        <w:jc w:val="left"/>
        <w:rPr>
          <w:rFonts w:ascii="仿宋_GB2312" w:hAnsi="Calibri" w:eastAsia="仿宋_GB2312" w:cs="Times New Roman"/>
          <w:sz w:val="32"/>
          <w:szCs w:val="32"/>
        </w:rPr>
      </w:pPr>
      <w:r>
        <w:rPr>
          <w:rFonts w:hint="eastAsia" w:ascii="仿宋_GB2312" w:hAnsi="仿宋" w:eastAsia="仿宋_GB2312"/>
          <w:sz w:val="32"/>
          <w:szCs w:val="32"/>
        </w:rPr>
        <w:t>1.</w:t>
      </w:r>
      <w:r>
        <w:rPr>
          <w:rFonts w:hint="eastAsia" w:ascii="仿宋_GB2312" w:hAnsi="仿宋" w:eastAsia="仿宋_GB2312" w:cs="Times New Roman"/>
          <w:sz w:val="32"/>
          <w:szCs w:val="32"/>
        </w:rPr>
        <w:t>科技创新项目任务超额完成。</w:t>
      </w:r>
      <w:r>
        <w:rPr>
          <w:rFonts w:hint="eastAsia" w:ascii="仿宋_GB2312" w:hAnsi="Calibri" w:eastAsia="仿宋_GB2312" w:cs="Times New Roman"/>
          <w:sz w:val="32"/>
          <w:szCs w:val="32"/>
        </w:rPr>
        <w:t>今年共争取省级以上科技计划项目50项，</w:t>
      </w:r>
      <w:r>
        <w:rPr>
          <w:rFonts w:hint="eastAsia" w:ascii="仿宋_GB2312" w:hAnsi="仿宋" w:eastAsia="仿宋_GB2312" w:cs="Times New Roman"/>
          <w:sz w:val="32"/>
          <w:szCs w:val="32"/>
        </w:rPr>
        <w:t>完成绩效目标任务</w:t>
      </w:r>
      <w:r>
        <w:rPr>
          <w:rFonts w:hint="eastAsia" w:ascii="仿宋_GB2312" w:hAnsi="Calibri" w:eastAsia="仿宋_GB2312" w:cs="Times New Roman"/>
          <w:sz w:val="32"/>
          <w:szCs w:val="32"/>
        </w:rPr>
        <w:t>125%。</w:t>
      </w:r>
      <w:r>
        <w:rPr>
          <w:rFonts w:hint="eastAsia" w:ascii="仿宋_GB2312" w:hAnsi="Calibri" w:eastAsia="仿宋_GB2312" w:cs="Times New Roman"/>
          <w:kern w:val="0"/>
          <w:sz w:val="32"/>
          <w:szCs w:val="32"/>
        </w:rPr>
        <w:t>3个省重大科技创新项目实现预期目标，</w:t>
      </w:r>
      <w:r>
        <w:rPr>
          <w:rFonts w:hint="eastAsia" w:ascii="仿宋_GB2312" w:hAnsi="仿宋" w:eastAsia="仿宋_GB2312" w:cs="Times New Roman"/>
          <w:sz w:val="32"/>
          <w:szCs w:val="32"/>
        </w:rPr>
        <w:t>完成绩效目标任务的100%。</w:t>
      </w:r>
      <w:r>
        <w:rPr>
          <w:rFonts w:hint="eastAsia" w:ascii="仿宋_GB2312" w:hAnsi="Calibri" w:eastAsia="仿宋_GB2312" w:cs="Times New Roman"/>
          <w:kern w:val="0"/>
          <w:sz w:val="32"/>
          <w:szCs w:val="32"/>
        </w:rPr>
        <w:t>累计完成投资10.</w:t>
      </w:r>
      <w:r>
        <w:rPr>
          <w:rFonts w:hint="eastAsia" w:ascii="仿宋_GB2312" w:eastAsia="仿宋_GB2312"/>
          <w:kern w:val="0"/>
          <w:sz w:val="32"/>
          <w:szCs w:val="32"/>
        </w:rPr>
        <w:t>3491</w:t>
      </w:r>
      <w:r>
        <w:rPr>
          <w:rFonts w:hint="eastAsia" w:ascii="仿宋_GB2312" w:hAnsi="Calibri" w:eastAsia="仿宋_GB2312" w:cs="Times New Roman"/>
          <w:kern w:val="0"/>
          <w:sz w:val="32"/>
          <w:szCs w:val="32"/>
        </w:rPr>
        <w:t>亿元，</w:t>
      </w:r>
      <w:r>
        <w:rPr>
          <w:rFonts w:hint="eastAsia" w:ascii="仿宋_GB2312" w:hAnsi="仿宋" w:eastAsia="仿宋_GB2312" w:cs="Times New Roman"/>
          <w:sz w:val="32"/>
          <w:szCs w:val="32"/>
        </w:rPr>
        <w:t>完成绩效目标任务的</w:t>
      </w:r>
      <w:r>
        <w:rPr>
          <w:rFonts w:hint="eastAsia" w:ascii="仿宋_GB2312" w:hAnsi="Calibri" w:eastAsia="仿宋_GB2312" w:cs="Times New Roman"/>
          <w:kern w:val="0"/>
          <w:sz w:val="32"/>
          <w:szCs w:val="32"/>
        </w:rPr>
        <w:t>1</w:t>
      </w:r>
      <w:r>
        <w:rPr>
          <w:rFonts w:hint="eastAsia" w:ascii="仿宋_GB2312" w:eastAsia="仿宋_GB2312"/>
          <w:kern w:val="0"/>
          <w:sz w:val="32"/>
          <w:szCs w:val="32"/>
        </w:rPr>
        <w:t>10.7</w:t>
      </w:r>
      <w:r>
        <w:rPr>
          <w:rFonts w:hint="eastAsia" w:ascii="仿宋_GB2312" w:hAnsi="Calibri" w:eastAsia="仿宋_GB2312" w:cs="Times New Roman"/>
          <w:kern w:val="0"/>
          <w:sz w:val="32"/>
          <w:szCs w:val="32"/>
        </w:rPr>
        <w:t>%；累计完成研发投入1.</w:t>
      </w:r>
      <w:r>
        <w:rPr>
          <w:rFonts w:hint="eastAsia" w:ascii="仿宋_GB2312" w:eastAsia="仿宋_GB2312"/>
          <w:kern w:val="0"/>
          <w:sz w:val="32"/>
          <w:szCs w:val="32"/>
        </w:rPr>
        <w:t>3733</w:t>
      </w:r>
      <w:r>
        <w:rPr>
          <w:rFonts w:hint="eastAsia" w:ascii="仿宋_GB2312" w:hAnsi="Calibri" w:eastAsia="仿宋_GB2312" w:cs="Times New Roman"/>
          <w:kern w:val="0"/>
          <w:sz w:val="32"/>
          <w:szCs w:val="32"/>
        </w:rPr>
        <w:t>亿元，</w:t>
      </w:r>
      <w:r>
        <w:rPr>
          <w:rFonts w:hint="eastAsia" w:ascii="仿宋_GB2312" w:hAnsi="仿宋" w:eastAsia="仿宋_GB2312" w:cs="Times New Roman"/>
          <w:sz w:val="32"/>
          <w:szCs w:val="32"/>
        </w:rPr>
        <w:t>完成绩效目标任务的</w:t>
      </w:r>
      <w:r>
        <w:rPr>
          <w:rFonts w:hint="eastAsia" w:ascii="仿宋_GB2312" w:hAnsi="Calibri" w:eastAsia="仿宋_GB2312" w:cs="Times New Roman"/>
          <w:kern w:val="0"/>
          <w:sz w:val="32"/>
          <w:szCs w:val="32"/>
        </w:rPr>
        <w:t>10</w:t>
      </w:r>
      <w:r>
        <w:rPr>
          <w:rFonts w:hint="eastAsia" w:ascii="仿宋_GB2312" w:eastAsia="仿宋_GB2312"/>
          <w:kern w:val="0"/>
          <w:sz w:val="32"/>
          <w:szCs w:val="32"/>
        </w:rPr>
        <w:t>8.9</w:t>
      </w:r>
      <w:r>
        <w:rPr>
          <w:rFonts w:hint="eastAsia" w:ascii="仿宋_GB2312" w:hAnsi="Calibri" w:eastAsia="仿宋_GB2312" w:cs="Times New Roman"/>
          <w:kern w:val="0"/>
          <w:sz w:val="32"/>
          <w:szCs w:val="32"/>
        </w:rPr>
        <w:t>%</w:t>
      </w:r>
      <w:r>
        <w:rPr>
          <w:rFonts w:hint="eastAsia" w:ascii="仿宋_GB2312" w:hAnsi="Calibri" w:eastAsia="仿宋_GB2312" w:cs="Times New Roman"/>
          <w:sz w:val="32"/>
          <w:szCs w:val="32"/>
        </w:rPr>
        <w:t>。</w:t>
      </w:r>
    </w:p>
    <w:p>
      <w:pPr>
        <w:widowControl/>
        <w:spacing w:line="600" w:lineRule="exact"/>
        <w:ind w:firstLine="640" w:firstLineChars="200"/>
        <w:jc w:val="left"/>
        <w:rPr>
          <w:rFonts w:ascii="仿宋_GB2312" w:hAnsi="宋体" w:eastAsia="仿宋_GB2312" w:cs="Times New Roman"/>
          <w:snapToGrid w:val="0"/>
          <w:kern w:val="0"/>
          <w:sz w:val="32"/>
          <w:szCs w:val="32"/>
        </w:rPr>
      </w:pPr>
      <w:r>
        <w:rPr>
          <w:rFonts w:hint="eastAsia" w:ascii="仿宋_GB2312" w:hAnsi="Calibri" w:eastAsia="仿宋_GB2312" w:cs="Times New Roman"/>
          <w:sz w:val="32"/>
          <w:szCs w:val="32"/>
        </w:rPr>
        <w:t>2.</w:t>
      </w:r>
      <w:r>
        <w:rPr>
          <w:rFonts w:hint="eastAsia" w:ascii="仿宋_GB2312" w:hAnsi="宋体" w:eastAsia="仿宋_GB2312" w:cs="Times New Roman"/>
          <w:snapToGrid w:val="0"/>
          <w:kern w:val="0"/>
          <w:sz w:val="32"/>
          <w:szCs w:val="32"/>
        </w:rPr>
        <w:t>市重大科技创新项目30个，超额完成了全年任务。完成投资32.</w:t>
      </w:r>
      <w:r>
        <w:rPr>
          <w:rFonts w:hint="eastAsia" w:ascii="仿宋_GB2312" w:hAnsi="宋体" w:eastAsia="仿宋_GB2312"/>
          <w:snapToGrid w:val="0"/>
          <w:kern w:val="0"/>
          <w:sz w:val="32"/>
          <w:szCs w:val="32"/>
        </w:rPr>
        <w:t>7171</w:t>
      </w:r>
      <w:r>
        <w:rPr>
          <w:rFonts w:hint="eastAsia" w:ascii="仿宋_GB2312" w:hAnsi="宋体" w:eastAsia="仿宋_GB2312" w:cs="Times New Roman"/>
          <w:snapToGrid w:val="0"/>
          <w:kern w:val="0"/>
          <w:sz w:val="32"/>
          <w:szCs w:val="32"/>
        </w:rPr>
        <w:t>亿元，</w:t>
      </w:r>
      <w:r>
        <w:rPr>
          <w:rFonts w:hint="eastAsia" w:ascii="仿宋_GB2312" w:hAnsi="仿宋" w:eastAsia="仿宋_GB2312" w:cs="Times New Roman"/>
          <w:sz w:val="32"/>
          <w:szCs w:val="32"/>
        </w:rPr>
        <w:t>完成绩效目标任务的</w:t>
      </w:r>
      <w:r>
        <w:rPr>
          <w:rFonts w:hint="eastAsia" w:ascii="仿宋_GB2312" w:hAnsi="宋体" w:eastAsia="仿宋_GB2312" w:cs="Times New Roman"/>
          <w:snapToGrid w:val="0"/>
          <w:kern w:val="0"/>
          <w:sz w:val="32"/>
          <w:szCs w:val="32"/>
        </w:rPr>
        <w:t>1</w:t>
      </w:r>
      <w:r>
        <w:rPr>
          <w:rFonts w:hint="eastAsia" w:ascii="仿宋_GB2312" w:hAnsi="宋体" w:eastAsia="仿宋_GB2312"/>
          <w:snapToGrid w:val="0"/>
          <w:kern w:val="0"/>
          <w:sz w:val="32"/>
          <w:szCs w:val="32"/>
        </w:rPr>
        <w:t>5</w:t>
      </w:r>
      <w:r>
        <w:rPr>
          <w:rFonts w:hint="eastAsia" w:ascii="仿宋_GB2312" w:hAnsi="宋体" w:eastAsia="仿宋_GB2312" w:cs="Times New Roman"/>
          <w:snapToGrid w:val="0"/>
          <w:kern w:val="0"/>
          <w:sz w:val="32"/>
          <w:szCs w:val="32"/>
        </w:rPr>
        <w:t>2%，完成研发经费投入3.</w:t>
      </w:r>
      <w:r>
        <w:rPr>
          <w:rFonts w:hint="eastAsia" w:ascii="仿宋_GB2312" w:hAnsi="宋体" w:eastAsia="仿宋_GB2312"/>
          <w:snapToGrid w:val="0"/>
          <w:kern w:val="0"/>
          <w:sz w:val="32"/>
          <w:szCs w:val="32"/>
        </w:rPr>
        <w:t>2996</w:t>
      </w:r>
      <w:r>
        <w:rPr>
          <w:rFonts w:hint="eastAsia" w:ascii="仿宋_GB2312" w:hAnsi="宋体" w:eastAsia="仿宋_GB2312" w:cs="Times New Roman"/>
          <w:snapToGrid w:val="0"/>
          <w:kern w:val="0"/>
          <w:sz w:val="32"/>
          <w:szCs w:val="32"/>
        </w:rPr>
        <w:t>亿元，超出年度计划投入3</w:t>
      </w:r>
      <w:r>
        <w:rPr>
          <w:rFonts w:hint="eastAsia" w:ascii="仿宋_GB2312" w:hAnsi="宋体" w:eastAsia="仿宋_GB2312"/>
          <w:snapToGrid w:val="0"/>
          <w:kern w:val="0"/>
          <w:sz w:val="32"/>
          <w:szCs w:val="32"/>
        </w:rPr>
        <w:t>4.6</w:t>
      </w:r>
      <w:r>
        <w:rPr>
          <w:rFonts w:hint="eastAsia" w:ascii="仿宋_GB2312" w:hAnsi="宋体" w:eastAsia="仿宋_GB2312" w:cs="Times New Roman"/>
          <w:snapToGrid w:val="0"/>
          <w:kern w:val="0"/>
          <w:sz w:val="32"/>
          <w:szCs w:val="32"/>
        </w:rPr>
        <w:t>%，</w:t>
      </w:r>
      <w:r>
        <w:rPr>
          <w:rFonts w:hint="eastAsia" w:ascii="仿宋_GB2312" w:hAnsi="仿宋" w:eastAsia="仿宋_GB2312" w:cs="Times New Roman"/>
          <w:sz w:val="32"/>
          <w:szCs w:val="32"/>
        </w:rPr>
        <w:t>完成绩效目标任务的13</w:t>
      </w:r>
      <w:r>
        <w:rPr>
          <w:rFonts w:hint="eastAsia" w:ascii="仿宋_GB2312" w:hAnsi="仿宋" w:eastAsia="仿宋_GB2312"/>
          <w:sz w:val="32"/>
          <w:szCs w:val="32"/>
        </w:rPr>
        <w:t>4.6</w:t>
      </w:r>
      <w:r>
        <w:rPr>
          <w:rFonts w:hint="eastAsia" w:ascii="仿宋_GB2312" w:hAnsi="仿宋" w:eastAsia="仿宋_GB2312" w:cs="Times New Roman"/>
          <w:sz w:val="32"/>
          <w:szCs w:val="32"/>
        </w:rPr>
        <w:t>%。</w:t>
      </w:r>
    </w:p>
    <w:p>
      <w:pPr>
        <w:widowControl/>
        <w:spacing w:line="600" w:lineRule="exact"/>
        <w:ind w:firstLine="640" w:firstLineChars="200"/>
        <w:jc w:val="left"/>
        <w:rPr>
          <w:rFonts w:ascii="仿宋_GB2312" w:hAnsi="仿宋" w:eastAsia="仿宋_GB2312" w:cs="Times New Roman"/>
          <w:sz w:val="32"/>
          <w:szCs w:val="32"/>
        </w:rPr>
      </w:pPr>
      <w:r>
        <w:rPr>
          <w:rFonts w:hint="eastAsia" w:ascii="仿宋_GB2312" w:hAnsi="仿宋_GB2312" w:eastAsia="仿宋_GB2312" w:cs="仿宋_GB2312"/>
          <w:color w:val="000000"/>
          <w:sz w:val="32"/>
          <w:szCs w:val="32"/>
        </w:rPr>
        <w:t>3.组建了永州</w:t>
      </w:r>
      <w:r>
        <w:rPr>
          <w:rFonts w:hint="eastAsia" w:ascii="仿宋_GB2312" w:hAnsi="仿宋_GB2312" w:eastAsia="仿宋_GB2312" w:cs="仿宋_GB2312"/>
          <w:kern w:val="0"/>
          <w:sz w:val="32"/>
          <w:szCs w:val="32"/>
        </w:rPr>
        <w:t>科技要素市场。</w:t>
      </w:r>
      <w:r>
        <w:rPr>
          <w:rFonts w:hint="eastAsia" w:ascii="仿宋_GB2312" w:hAnsi="仿宋_GB2312" w:eastAsia="仿宋_GB2312" w:cs="仿宋_GB2312"/>
          <w:snapToGrid w:val="0"/>
          <w:kern w:val="0"/>
          <w:sz w:val="32"/>
          <w:szCs w:val="32"/>
        </w:rPr>
        <w:t>共登记各类技术合同270项，金额4.28亿元，</w:t>
      </w:r>
      <w:r>
        <w:rPr>
          <w:rFonts w:hint="eastAsia" w:ascii="仿宋_GB2312" w:hAnsi="仿宋" w:eastAsia="仿宋_GB2312" w:cs="Times New Roman"/>
          <w:sz w:val="32"/>
          <w:szCs w:val="32"/>
        </w:rPr>
        <w:t>完成绩效目标任务</w:t>
      </w:r>
      <w:r>
        <w:rPr>
          <w:rFonts w:hint="eastAsia" w:ascii="仿宋_GB2312" w:hAnsi="仿宋_GB2312" w:eastAsia="仿宋_GB2312" w:cs="仿宋_GB2312"/>
          <w:snapToGrid w:val="0"/>
          <w:kern w:val="0"/>
          <w:sz w:val="32"/>
          <w:szCs w:val="32"/>
        </w:rPr>
        <w:t>167%，</w:t>
      </w:r>
    </w:p>
    <w:p>
      <w:pPr>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4.举办大型科普活动1次以上，惠及群众15万人以上，完成绩效目标任务的100%。</w:t>
      </w:r>
    </w:p>
    <w:p>
      <w:pPr>
        <w:pStyle w:val="10"/>
        <w:ind w:firstLine="640" w:firstLineChars="200"/>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本部门2019 年度机关运行经费支出94.3万元，比年初预算数增加39.62万元，增长42.01%。主要原因是：用于开展六城同创工作经费开支、脱贫攻坚工作经费开支、办公室场地检修开支以及科技志的编撰等办公费用的增加。</w:t>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2019年本部门开支培训费8.04万元</w:t>
      </w:r>
      <w:r>
        <w:rPr>
          <w:rFonts w:hint="eastAsia" w:ascii="仿宋_GB2312" w:hAnsi="仿宋" w:eastAsia="仿宋_GB2312"/>
          <w:sz w:val="32"/>
          <w:szCs w:val="32"/>
        </w:rPr>
        <w:t>。主要用于高新技术企业认定培训活动，人数为56人，内容为高新技术企业的申报及认定。</w:t>
      </w:r>
      <w:r>
        <w:rPr>
          <w:rFonts w:hint="eastAsia" w:ascii="仿宋_GB2312" w:eastAsia="仿宋_GB2312" w:cs="黑体" w:hAnsiTheme="minorEastAsia"/>
          <w:color w:val="000000"/>
          <w:kern w:val="0"/>
          <w:sz w:val="32"/>
          <w:szCs w:val="32"/>
        </w:rPr>
        <w:t>无会议费开支；</w:t>
      </w:r>
      <w:r>
        <w:rPr>
          <w:rFonts w:hint="eastAsia" w:ascii="仿宋_GB2312" w:hAnsi="仿宋" w:eastAsia="仿宋_GB2312"/>
          <w:sz w:val="32"/>
          <w:szCs w:val="32"/>
        </w:rPr>
        <w:t>主要原因是本局举办的会议活动与培训活动相结合，列入了培训开支。</w:t>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（三）政府采购支出情况</w:t>
      </w:r>
    </w:p>
    <w:p>
      <w:pPr>
        <w:ind w:firstLine="640" w:firstLineChars="200"/>
        <w:rPr>
          <w:rFonts w:ascii="仿宋_GB2312" w:eastAsia="仿宋_GB2312" w:cs="黑体" w:hAnsiTheme="minorEastAsia"/>
          <w:i/>
          <w:color w:val="FF0000"/>
          <w:kern w:val="0"/>
          <w:sz w:val="32"/>
          <w:szCs w:val="32"/>
        </w:rPr>
      </w:pPr>
      <w:r>
        <w:rPr>
          <w:rFonts w:hint="eastAsia" w:ascii="仿宋_GB2312" w:eastAsia="仿宋_GB2312" w:cs="黑体" w:hAnsiTheme="minorEastAsia"/>
          <w:color w:val="000000"/>
          <w:kern w:val="0"/>
          <w:sz w:val="32"/>
          <w:szCs w:val="32"/>
        </w:rPr>
        <w:t>本部门2019年度无政府采购支出</w:t>
      </w:r>
      <w:r>
        <w:rPr>
          <w:rFonts w:hint="eastAsia" w:ascii="仿宋_GB2312" w:eastAsia="仿宋_GB2312" w:cs="黑体" w:hAnsiTheme="minorEastAsia"/>
          <w:i/>
          <w:kern w:val="0"/>
          <w:sz w:val="32"/>
          <w:szCs w:val="32"/>
        </w:rPr>
        <w:t>。</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截至2019年12月31日，本单位共有车辆1辆，为其他用车1辆，其他用车主要是</w:t>
      </w:r>
      <w:r>
        <w:rPr>
          <w:rFonts w:hint="eastAsia" w:ascii="仿宋_GB2312" w:hAnsi="arial narrow" w:eastAsia="仿宋_GB2312"/>
          <w:color w:val="000000"/>
          <w:sz w:val="32"/>
          <w:szCs w:val="32"/>
          <w:shd w:val="clear" w:color="auto" w:fill="FFFFFF"/>
        </w:rPr>
        <w:t>用于办理公务、机要通信、处置突发事件等公务活动</w:t>
      </w:r>
      <w:r>
        <w:rPr>
          <w:rFonts w:hint="eastAsia" w:ascii="仿宋_GB2312" w:eastAsia="仿宋_GB2312" w:cs="黑体" w:hAnsiTheme="minorEastAsia"/>
          <w:color w:val="000000"/>
          <w:kern w:val="0"/>
          <w:sz w:val="32"/>
          <w:szCs w:val="32"/>
        </w:rPr>
        <w:t>；本单位无价值50万元以上通用设备；无价值100万元以上专用设备。</w:t>
      </w:r>
    </w:p>
    <w:p>
      <w:pPr>
        <w:widowControl/>
        <w:jc w:val="left"/>
        <w:rPr>
          <w:rFonts w:ascii="黑体" w:hAnsi="黑体" w:eastAsia="黑体"/>
          <w:sz w:val="72"/>
          <w:szCs w:val="72"/>
        </w:rPr>
      </w:pPr>
      <w:r>
        <w:rPr>
          <w:rFonts w:ascii="黑体" w:hAnsi="黑体" w:eastAsia="黑体"/>
          <w:sz w:val="72"/>
          <w:szCs w:val="72"/>
        </w:rPr>
        <w:br w:type="page"/>
      </w:r>
    </w:p>
    <w:p>
      <w:pPr>
        <w:ind w:firstLine="640" w:firstLineChars="200"/>
        <w:rPr>
          <w:rFonts w:cs="黑体" w:asciiTheme="minorEastAsia" w:hAnsiTheme="minorEastAsia"/>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hd w:val="clear" w:color="auto" w:fill="FFFFFF"/>
        <w:spacing w:line="560" w:lineRule="atLeast"/>
        <w:ind w:firstLine="640"/>
        <w:jc w:val="left"/>
        <w:rPr>
          <w:rFonts w:ascii="仿宋_GB2312" w:hAnsi="宋体" w:eastAsia="仿宋_GB2312" w:cs="宋体"/>
          <w:kern w:val="0"/>
          <w:szCs w:val="21"/>
        </w:rPr>
      </w:pPr>
      <w:r>
        <w:rPr>
          <w:rFonts w:hint="eastAsia" w:ascii="仿宋_GB2312" w:hAnsi="仿宋" w:eastAsia="仿宋_GB2312" w:cs="宋体"/>
          <w:b/>
          <w:kern w:val="0"/>
          <w:sz w:val="32"/>
          <w:szCs w:val="32"/>
        </w:rPr>
        <w:t>一、财政拨款收入</w:t>
      </w:r>
      <w:r>
        <w:rPr>
          <w:rFonts w:hint="eastAsia" w:ascii="仿宋_GB2312" w:hAnsi="仿宋" w:eastAsia="仿宋_GB2312" w:cs="宋体"/>
          <w:kern w:val="0"/>
          <w:sz w:val="32"/>
          <w:szCs w:val="32"/>
        </w:rPr>
        <w:t xml:space="preserve">指财政当年拨付的资金。 </w:t>
      </w:r>
    </w:p>
    <w:p>
      <w:pPr>
        <w:widowControl/>
        <w:shd w:val="clear" w:color="auto" w:fill="FFFFFF"/>
        <w:spacing w:line="560" w:lineRule="atLeast"/>
        <w:ind w:firstLine="640"/>
        <w:jc w:val="left"/>
        <w:rPr>
          <w:rFonts w:ascii="仿宋_GB2312" w:hAnsi="宋体" w:eastAsia="仿宋_GB2312" w:cs="宋体"/>
          <w:kern w:val="0"/>
          <w:szCs w:val="21"/>
        </w:rPr>
      </w:pPr>
      <w:r>
        <w:rPr>
          <w:rFonts w:hint="eastAsia" w:ascii="仿宋_GB2312" w:hAnsi="仿宋" w:eastAsia="仿宋_GB2312" w:cs="宋体"/>
          <w:b/>
          <w:kern w:val="0"/>
          <w:sz w:val="32"/>
          <w:szCs w:val="32"/>
        </w:rPr>
        <w:t>二、基本支出</w:t>
      </w:r>
      <w:r>
        <w:rPr>
          <w:rFonts w:hint="eastAsia" w:ascii="仿宋_GB2312" w:hAnsi="仿宋" w:eastAsia="仿宋_GB2312" w:cs="宋体"/>
          <w:kern w:val="0"/>
          <w:sz w:val="32"/>
          <w:szCs w:val="32"/>
        </w:rPr>
        <w:t>指为保障机构正常运转、完成日常工作任务而发生的人员支出和公用支出。</w:t>
      </w:r>
    </w:p>
    <w:p>
      <w:pPr>
        <w:widowControl/>
        <w:shd w:val="clear" w:color="auto" w:fill="FFFFFF"/>
        <w:spacing w:line="560" w:lineRule="atLeast"/>
        <w:ind w:firstLine="640"/>
        <w:jc w:val="left"/>
        <w:rPr>
          <w:rFonts w:ascii="仿宋_GB2312" w:hAnsi="宋体" w:eastAsia="仿宋_GB2312" w:cs="宋体"/>
          <w:kern w:val="0"/>
          <w:szCs w:val="21"/>
        </w:rPr>
      </w:pPr>
      <w:r>
        <w:rPr>
          <w:rFonts w:hint="eastAsia" w:ascii="仿宋_GB2312" w:hAnsi="仿宋" w:eastAsia="仿宋_GB2312" w:cs="宋体"/>
          <w:b/>
          <w:kern w:val="0"/>
          <w:sz w:val="32"/>
          <w:szCs w:val="32"/>
        </w:rPr>
        <w:t>三、项目支出</w:t>
      </w:r>
      <w:r>
        <w:rPr>
          <w:rFonts w:hint="eastAsia" w:ascii="仿宋_GB2312" w:hAnsi="仿宋" w:eastAsia="仿宋_GB2312" w:cs="宋体"/>
          <w:kern w:val="0"/>
          <w:sz w:val="32"/>
          <w:szCs w:val="32"/>
        </w:rPr>
        <w:t>指在基本支出之外为完成特定行政任务和事业发展目标所发生的支出。</w:t>
      </w:r>
    </w:p>
    <w:p>
      <w:pPr>
        <w:widowControl/>
        <w:shd w:val="clear" w:color="auto" w:fill="FFFFFF"/>
        <w:spacing w:line="560" w:lineRule="atLeast"/>
        <w:ind w:firstLine="640"/>
        <w:rPr>
          <w:rFonts w:ascii="仿宋_GB2312" w:hAnsi="宋体" w:eastAsia="仿宋_GB2312" w:cs="宋体"/>
          <w:kern w:val="0"/>
          <w:szCs w:val="21"/>
        </w:rPr>
      </w:pPr>
      <w:r>
        <w:rPr>
          <w:rFonts w:hint="eastAsia" w:ascii="仿宋_GB2312" w:hAnsi="仿宋" w:eastAsia="仿宋_GB2312" w:cs="宋体"/>
          <w:b/>
          <w:kern w:val="0"/>
          <w:sz w:val="32"/>
          <w:szCs w:val="32"/>
        </w:rPr>
        <w:t>四、“三公”经费：</w:t>
      </w:r>
      <w:r>
        <w:rPr>
          <w:rFonts w:hint="eastAsia" w:ascii="仿宋_GB2312" w:hAnsi="仿宋" w:eastAsia="仿宋_GB2312" w:cs="宋体"/>
          <w:kern w:val="0"/>
          <w:sz w:val="32"/>
          <w:szCs w:val="32"/>
        </w:rPr>
        <w:t>纳入财政预决算管理的“三公”经费，是指用财政拨款安排的因公出国(境)费、公务用车购置及运行费和公务接待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shd w:val="clear" w:color="auto" w:fill="FFFFFF"/>
        <w:spacing w:line="560" w:lineRule="atLeast"/>
        <w:ind w:firstLine="640"/>
        <w:jc w:val="left"/>
        <w:rPr>
          <w:rFonts w:ascii="宋体" w:hAnsi="宋体" w:eastAsia="宋体" w:cs="宋体"/>
          <w:kern w:val="0"/>
          <w:szCs w:val="21"/>
        </w:rPr>
      </w:pPr>
      <w:r>
        <w:rPr>
          <w:rFonts w:hint="eastAsia" w:ascii="仿宋_GB2312" w:hAnsi="仿宋" w:eastAsia="仿宋_GB2312" w:cs="宋体"/>
          <w:b/>
          <w:kern w:val="0"/>
          <w:sz w:val="32"/>
          <w:szCs w:val="32"/>
        </w:rPr>
        <w:t>五、机关运行经费：</w:t>
      </w:r>
      <w:r>
        <w:rPr>
          <w:rFonts w:hint="eastAsia" w:ascii="仿宋_GB2312" w:hAnsi="仿宋" w:eastAsia="仿宋_GB2312" w:cs="宋体"/>
          <w:kern w:val="0"/>
          <w:sz w:val="32"/>
          <w:szCs w:val="32"/>
        </w:rPr>
        <w:t>是指为保障行政单位(含参照公务员法管理的事业单位)运行用于购买货物和服务的各项资金，包括办公及印刷费、邮电费、旅费、会议费、福利费、日常维修费、专用材料及一般设备购置费、办公用房水电费、办公用房取暖费、办公用房物业管理费、公务用车运行维护费以及其他费用。</w:t>
      </w:r>
      <w:r>
        <w:rPr>
          <w:rFonts w:asciiTheme="minorEastAsia" w:hAnsiTheme="minorEastAsia"/>
          <w:i/>
          <w:color w:val="FF0000"/>
          <w:sz w:val="32"/>
          <w:szCs w:val="32"/>
        </w:rPr>
        <w:br w:type="page"/>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 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2019年度部门整体支出绩效评价报告</w:t>
      </w:r>
    </w:p>
    <w:p>
      <w:pPr>
        <w:shd w:val="clear" w:color="auto" w:fill="FFFFFF"/>
        <w:autoSpaceDE w:val="0"/>
        <w:autoSpaceDN w:val="0"/>
        <w:spacing w:line="640" w:lineRule="exact"/>
        <w:ind w:firstLine="640"/>
        <w:jc w:val="left"/>
        <w:rPr>
          <w:rFonts w:cs="宋体" w:asciiTheme="minorEastAsia" w:hAnsiTheme="minorEastAsia"/>
          <w:b/>
          <w:kern w:val="0"/>
          <w:sz w:val="32"/>
          <w:szCs w:val="32"/>
        </w:rPr>
      </w:pPr>
      <w:r>
        <w:rPr>
          <w:rFonts w:hint="eastAsia" w:cs="宋体" w:asciiTheme="minorEastAsia" w:hAnsiTheme="minorEastAsia"/>
          <w:b/>
          <w:kern w:val="0"/>
          <w:sz w:val="32"/>
          <w:szCs w:val="32"/>
        </w:rPr>
        <w:t>（一）预算绩效自评基本概况</w:t>
      </w:r>
    </w:p>
    <w:p>
      <w:pPr>
        <w:shd w:val="clear" w:color="auto" w:fill="FFFFFF"/>
        <w:autoSpaceDE w:val="0"/>
        <w:autoSpaceDN w:val="0"/>
        <w:spacing w:line="64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永州市科学技术局是正处级政府组成部门，财务核算执行行政单位会计制度。通过收集汇总2019年部门预算资料，分析核实情况，对照评价指标和评分标准，经综合评定，自评得分90分，财政支出绩效为“优”。</w:t>
      </w:r>
    </w:p>
    <w:p>
      <w:pPr>
        <w:shd w:val="clear" w:color="auto" w:fill="FFFFFF"/>
        <w:autoSpaceDE w:val="0"/>
        <w:autoSpaceDN w:val="0"/>
        <w:spacing w:line="640" w:lineRule="exact"/>
        <w:ind w:firstLine="614" w:firstLineChars="192"/>
        <w:jc w:val="left"/>
        <w:rPr>
          <w:rFonts w:cs="宋体" w:asciiTheme="minorEastAsia" w:hAnsiTheme="minorEastAsia"/>
          <w:b/>
          <w:kern w:val="0"/>
          <w:sz w:val="32"/>
          <w:szCs w:val="32"/>
        </w:rPr>
      </w:pPr>
      <w:r>
        <w:rPr>
          <w:rFonts w:hint="eastAsia" w:cs="宋体" w:asciiTheme="minorEastAsia" w:hAnsiTheme="minorEastAsia"/>
          <w:b/>
          <w:kern w:val="0"/>
          <w:sz w:val="32"/>
          <w:szCs w:val="32"/>
        </w:rPr>
        <w:t>（二）部门支出情况</w:t>
      </w:r>
    </w:p>
    <w:p>
      <w:pPr>
        <w:shd w:val="clear" w:color="auto" w:fill="FFFFFF"/>
        <w:autoSpaceDE w:val="0"/>
        <w:autoSpaceDN w:val="0"/>
        <w:spacing w:line="640" w:lineRule="exact"/>
        <w:ind w:firstLine="614" w:firstLineChars="192"/>
        <w:jc w:val="left"/>
        <w:rPr>
          <w:rFonts w:ascii="仿宋_GB2312" w:hAnsi="宋体" w:eastAsia="仿宋_GB2312" w:cs="宋体"/>
          <w:kern w:val="0"/>
          <w:sz w:val="32"/>
          <w:szCs w:val="32"/>
        </w:rPr>
      </w:pPr>
      <w:r>
        <w:rPr>
          <w:rFonts w:hint="eastAsia" w:ascii="仿宋_GB2312" w:hAnsi="宋体" w:eastAsia="仿宋_GB2312" w:cs="宋体"/>
          <w:kern w:val="0"/>
          <w:sz w:val="32"/>
          <w:szCs w:val="32"/>
        </w:rPr>
        <w:t>市科技局2019年部门预算支出713.58万元。具体内容如下：</w:t>
      </w:r>
    </w:p>
    <w:p>
      <w:pPr>
        <w:autoSpaceDE w:val="0"/>
        <w:autoSpaceDN w:val="0"/>
        <w:spacing w:line="640" w:lineRule="exact"/>
        <w:ind w:firstLine="640" w:firstLineChars="200"/>
        <w:rPr>
          <w:rFonts w:ascii="仿宋_GB2312" w:hAnsi="Calibri" w:eastAsia="仿宋_GB2312" w:cs="Times New Roman"/>
          <w:sz w:val="32"/>
          <w:szCs w:val="32"/>
        </w:rPr>
      </w:pPr>
      <w:r>
        <w:rPr>
          <w:rFonts w:hint="eastAsia" w:ascii="仿宋_GB2312" w:hAnsi="宋体" w:eastAsia="仿宋_GB2312" w:cs="宋体"/>
          <w:kern w:val="0"/>
          <w:sz w:val="32"/>
          <w:szCs w:val="32"/>
        </w:rPr>
        <w:t>1.市财政拨入基本支出资金</w:t>
      </w:r>
      <w:r>
        <w:rPr>
          <w:rFonts w:hint="eastAsia" w:ascii="仿宋_GB2312" w:eastAsia="仿宋_GB2312" w:hAnsiTheme="minorEastAsia"/>
          <w:sz w:val="32"/>
          <w:szCs w:val="32"/>
        </w:rPr>
        <w:t>424.23</w:t>
      </w:r>
      <w:r>
        <w:rPr>
          <w:rFonts w:hint="eastAsia" w:ascii="仿宋_GB2312" w:hAnsi="宋体" w:eastAsia="仿宋_GB2312" w:cs="宋体"/>
          <w:kern w:val="0"/>
          <w:sz w:val="32"/>
          <w:szCs w:val="32"/>
        </w:rPr>
        <w:t>万元，主要用途：维持部门日常运转的人员经费和日常公用经费等。2019年机构改革前，市科技局有内设科室7个，下属正科级全额拨款事业单位1个。7个内设科室是办公室、政策法规与科技合作科（科技人才工作办公室）、综合规划与高新技术产业发展科、农村科技与社会发展科、科技成果与技术市场科（监督管理科）、知识产权科、专利执法科（知识产权维权援助中心）。1个下属事业单位是技术市场办。市编办核定科技局全额拨款编制人员25名，其中行政编制18名、事业编制5名、工勤编制2名。实有人数53人，其中在职人员24人、退休27人，临时人员2人。2019年机构改革后，市科技局有内设科室6个，</w:t>
      </w:r>
      <w:r>
        <w:rPr>
          <w:rFonts w:hint="eastAsia" w:ascii="仿宋_GB2312" w:hAnsi="Calibri" w:eastAsia="仿宋_GB2312" w:cs="Times New Roman"/>
          <w:sz w:val="32"/>
          <w:szCs w:val="32"/>
        </w:rPr>
        <w:t>是办公室、政策法规科、综合规划与高新技术产业发展科、农村科技与社会发展科（扶贫工作办公室）、科技成果与监督管理科、科技合作与外国专家服务科（科技人才工作办公室）。</w:t>
      </w:r>
      <w:r>
        <w:rPr>
          <w:rFonts w:hint="eastAsia" w:ascii="仿宋_GB2312" w:hAnsi="宋体" w:eastAsia="仿宋_GB2312" w:cs="宋体"/>
          <w:kern w:val="0"/>
          <w:sz w:val="32"/>
          <w:szCs w:val="32"/>
        </w:rPr>
        <w:t>市编办核定科技局</w:t>
      </w:r>
      <w:r>
        <w:rPr>
          <w:rFonts w:hint="eastAsia" w:ascii="仿宋_GB2312" w:hAnsi="Calibri" w:eastAsia="仿宋_GB2312" w:cs="Times New Roman"/>
          <w:sz w:val="32"/>
          <w:szCs w:val="32"/>
        </w:rPr>
        <w:t>编制18个，其中行政编制17名、工勤编制1名。实有人数48人，其中在职人员21人、退休27人。临时聘请人员2人。</w:t>
      </w:r>
    </w:p>
    <w:p>
      <w:pPr>
        <w:shd w:val="clear" w:color="auto" w:fill="FFFFFF"/>
        <w:autoSpaceDE w:val="0"/>
        <w:autoSpaceDN w:val="0"/>
        <w:spacing w:line="6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全年人员经费及日常公用经费年初预算为315.85万元。</w:t>
      </w:r>
    </w:p>
    <w:p>
      <w:pPr>
        <w:shd w:val="clear" w:color="auto" w:fill="FFFFFF"/>
        <w:autoSpaceDE w:val="0"/>
        <w:autoSpaceDN w:val="0"/>
        <w:spacing w:line="640" w:lineRule="exact"/>
        <w:ind w:firstLine="614" w:firstLineChars="192"/>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市财政拨入科技管理项目支出经费289.35万元，主要用途：知识产权事务及专利、网络、打击侵犯知识产权和制售假冒伪劣商品、专利申请与实施资助专项经费、科技计划管理、星火科技12396专项。专项经费有力保障了市科技局履行推进全市科技事业发展的基本职能：科技计划管理经费主要保障组织实施科技计划、促进产学研结合、推进高新技术发展；星火科技12396专项经费主要用于推进农业和社会发展领域科技进步、加强科技成果管理、促进科技成果转化和推广；知识产权事务经费和专利资助经费主要用于指导、协调全市知识产权工作，组织、宣传、落实《中华人民共和国专利法》及有关法规，依法调处专利纠纷和查处假冒专利行为。</w:t>
      </w:r>
    </w:p>
    <w:p>
      <w:pPr>
        <w:shd w:val="clear" w:color="auto" w:fill="FFFFFF"/>
        <w:autoSpaceDE w:val="0"/>
        <w:autoSpaceDN w:val="0"/>
        <w:adjustRightInd w:val="0"/>
        <w:snapToGrid w:val="0"/>
        <w:spacing w:line="640" w:lineRule="exact"/>
        <w:ind w:firstLine="640" w:firstLineChars="200"/>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（三）部门预算绩效目标完成情况</w:t>
      </w:r>
    </w:p>
    <w:p>
      <w:pPr>
        <w:autoSpaceDE w:val="0"/>
        <w:autoSpaceDN w:val="0"/>
        <w:spacing w:line="64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2019年，全市科技工作在市委、市政府的正确领导下，围绕科技创新引领高质量发展总要求，突出园区升级和产业项目建设工作重点，圆满地完成了年度各项目标任务，取得了全省二类地区科技工作第一的优异成绩，再次获得省政府真抓实干表彰，被奖励</w:t>
      </w:r>
      <w:r>
        <w:rPr>
          <w:rFonts w:hint="eastAsia" w:ascii="仿宋_GB2312" w:hAnsi="仿宋_GB2312" w:eastAsia="仿宋_GB2312" w:cs="仿宋_GB2312"/>
          <w:kern w:val="0"/>
          <w:sz w:val="32"/>
          <w:szCs w:val="32"/>
        </w:rPr>
        <w:t>专项资金</w:t>
      </w:r>
      <w:r>
        <w:rPr>
          <w:rFonts w:hint="eastAsia" w:ascii="仿宋_GB2312" w:hAnsi="仿宋_GB2312" w:eastAsia="仿宋_GB2312" w:cs="仿宋_GB2312"/>
          <w:sz w:val="32"/>
          <w:szCs w:val="32"/>
        </w:rPr>
        <w:t>1400万元。</w:t>
      </w:r>
    </w:p>
    <w:p>
      <w:pPr>
        <w:autoSpaceDE w:val="0"/>
        <w:autoSpaceDN w:val="0"/>
        <w:spacing w:line="640" w:lineRule="exact"/>
        <w:ind w:firstLine="640" w:firstLineChars="200"/>
        <w:jc w:val="left"/>
        <w:rPr>
          <w:rFonts w:ascii="仿宋_GB2312" w:hAnsi="Calibri" w:eastAsia="仿宋_GB2312" w:cs="Times New Roman"/>
          <w:sz w:val="32"/>
          <w:szCs w:val="32"/>
        </w:rPr>
      </w:pPr>
      <w:r>
        <w:rPr>
          <w:rFonts w:hint="eastAsia" w:ascii="仿宋_GB2312" w:hAnsi="华文楷体" w:eastAsia="仿宋_GB2312" w:cs="华文楷体"/>
          <w:b/>
          <w:bCs/>
          <w:sz w:val="32"/>
          <w:szCs w:val="32"/>
        </w:rPr>
        <w:t>1.科技创新环境有新优化。</w:t>
      </w:r>
      <w:r>
        <w:rPr>
          <w:rFonts w:hint="eastAsia" w:ascii="仿宋_GB2312" w:hAnsi="仿宋_GB2312" w:eastAsia="仿宋_GB2312" w:cs="仿宋_GB2312"/>
          <w:b/>
          <w:bCs/>
          <w:sz w:val="32"/>
          <w:szCs w:val="32"/>
        </w:rPr>
        <w:t>一是市委、市政府对科技创新工作日益重视。</w:t>
      </w:r>
      <w:r>
        <w:rPr>
          <w:rFonts w:hint="eastAsia" w:ascii="仿宋_GB2312" w:hAnsi="仿宋_GB2312" w:eastAsia="仿宋_GB2312" w:cs="仿宋_GB2312"/>
          <w:bCs/>
          <w:sz w:val="32"/>
          <w:szCs w:val="32"/>
        </w:rPr>
        <w:t>成立了由市长任组长的科技创新工作领导小组，全面加强对科技创新工作的组织领导。</w:t>
      </w:r>
      <w:r>
        <w:rPr>
          <w:rFonts w:hint="eastAsia" w:ascii="仿宋_GB2312" w:hAnsi="仿宋_GB2312" w:eastAsia="仿宋_GB2312" w:cs="仿宋_GB2312"/>
          <w:sz w:val="32"/>
          <w:szCs w:val="32"/>
        </w:rPr>
        <w:t>出台了《永州建设创新型城市实施方案》，相关指标纳入对县区和相关市直单位的绩效考核。同时，全面兑现了</w:t>
      </w:r>
      <w:r>
        <w:rPr>
          <w:rFonts w:hint="eastAsia" w:ascii="仿宋_GB2312" w:hAnsi="宋体" w:eastAsia="仿宋_GB2312" w:cs="Times New Roman"/>
          <w:snapToGrid w:val="0"/>
          <w:kern w:val="0"/>
          <w:sz w:val="32"/>
          <w:szCs w:val="32"/>
        </w:rPr>
        <w:t>《永州市科技服务产业发展十条措施</w:t>
      </w:r>
      <w:r>
        <w:rPr>
          <w:rFonts w:hint="eastAsia" w:ascii="仿宋_GB2312" w:hAnsi="仿宋_GB2312" w:eastAsia="仿宋_GB2312" w:cs="仿宋_GB2312"/>
          <w:sz w:val="32"/>
          <w:szCs w:val="32"/>
        </w:rPr>
        <w:t>》等相关政策，提振企业抓科技创新的信心和决心。</w:t>
      </w:r>
      <w:r>
        <w:rPr>
          <w:rFonts w:hint="eastAsia" w:ascii="仿宋_GB2312" w:hAnsi="仿宋_GB2312" w:eastAsia="仿宋_GB2312" w:cs="仿宋_GB2312"/>
          <w:b/>
          <w:bCs/>
          <w:sz w:val="32"/>
          <w:szCs w:val="32"/>
        </w:rPr>
        <w:t>二是全社会研发投入力度大幅增加。</w:t>
      </w:r>
      <w:r>
        <w:rPr>
          <w:rFonts w:hint="eastAsia" w:ascii="仿宋_GB2312" w:hAnsi="仿宋_GB2312" w:eastAsia="仿宋_GB2312" w:cs="仿宋_GB2312"/>
          <w:sz w:val="32"/>
          <w:szCs w:val="32"/>
        </w:rPr>
        <w:t>根据2019年10月国家统计局公报数据，2018年，我市研发投入总量达到25.43亿元，比上年度增加12.33亿元，同比增长94.12%，增幅排全省第一。2019年我市上报研发经费投入51.914亿元，名列同类市州第一。</w:t>
      </w:r>
      <w:r>
        <w:rPr>
          <w:rFonts w:hint="eastAsia" w:ascii="仿宋_GB2312" w:hAnsi="仿宋_GB2312" w:eastAsia="仿宋_GB2312" w:cs="仿宋_GB2312"/>
          <w:b/>
          <w:bCs/>
          <w:sz w:val="32"/>
          <w:szCs w:val="32"/>
        </w:rPr>
        <w:t>三是科技创新政策激励逐步完善。</w:t>
      </w:r>
      <w:r>
        <w:rPr>
          <w:rFonts w:hint="eastAsia" w:ascii="仿宋_GB2312" w:hAnsi="仿宋_GB2312" w:eastAsia="仿宋_GB2312" w:cs="仿宋_GB2312"/>
          <w:sz w:val="32"/>
          <w:szCs w:val="32"/>
        </w:rPr>
        <w:t>市科技局先后制订出台了《永州市科技报告管理暂行办法》《永州市促进星创天地发展与管理暂行办法》《永州市科技服务机构管理办法》等规范性文件，为科技创新发展提供政策支持。市农科所、市柑科所等市直农科五所分别就激励科研人员创新创业，出台了相关政策措施。江华、道县等县区专门出台了鼓励科技人员创新的措施。</w:t>
      </w:r>
    </w:p>
    <w:p>
      <w:pPr>
        <w:autoSpaceDE w:val="0"/>
        <w:autoSpaceDN w:val="0"/>
        <w:spacing w:line="640" w:lineRule="exact"/>
        <w:ind w:firstLine="640" w:firstLineChars="200"/>
        <w:rPr>
          <w:rFonts w:ascii="仿宋_GB2312" w:hAnsi="仿宋_GB2312" w:eastAsia="仿宋_GB2312" w:cs="仿宋_GB2312"/>
          <w:kern w:val="0"/>
          <w:sz w:val="32"/>
          <w:szCs w:val="32"/>
        </w:rPr>
      </w:pPr>
      <w:r>
        <w:rPr>
          <w:rFonts w:hint="eastAsia" w:ascii="仿宋_GB2312" w:hAnsi="华文楷体" w:eastAsia="仿宋_GB2312" w:cs="华文楷体"/>
          <w:b/>
          <w:bCs/>
          <w:sz w:val="32"/>
          <w:szCs w:val="32"/>
        </w:rPr>
        <w:t>2.科技创新能力有新提高。</w:t>
      </w:r>
      <w:r>
        <w:rPr>
          <w:rFonts w:hint="eastAsia" w:ascii="仿宋_GB2312" w:hAnsi="仿宋_GB2312" w:eastAsia="仿宋_GB2312" w:cs="仿宋_GB2312"/>
          <w:b/>
          <w:bCs/>
          <w:sz w:val="32"/>
          <w:szCs w:val="32"/>
        </w:rPr>
        <w:t>一是科技创新项目超额完成全年目标任务。</w:t>
      </w:r>
      <w:r>
        <w:rPr>
          <w:rFonts w:hint="eastAsia" w:ascii="仿宋_GB2312" w:hAnsi="仿宋_GB2312" w:eastAsia="仿宋_GB2312" w:cs="仿宋_GB2312"/>
          <w:sz w:val="32"/>
          <w:szCs w:val="32"/>
        </w:rPr>
        <w:t>全年共争取省级以上科技计划项目50项，经费3900余万元，同比增长49.88%。</w:t>
      </w:r>
      <w:r>
        <w:rPr>
          <w:rFonts w:hint="eastAsia" w:ascii="仿宋_GB2312" w:hAnsi="仿宋_GB2312" w:eastAsia="仿宋_GB2312" w:cs="仿宋_GB2312"/>
          <w:kern w:val="0"/>
          <w:sz w:val="32"/>
          <w:szCs w:val="32"/>
        </w:rPr>
        <w:t>3个省重大科技创新项目全年累计完成投资10.3491亿元，占年度计划投资110.7%；累计完成研发投入1.3733亿元，占年度计划投入108.9%</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szCs w:val="32"/>
        </w:rPr>
        <w:t>30个市重大科技创新项目全年完成投资34.7171亿元，为年度计划投资的152%，完成研发经费投入3.2996亿元，为年度计划投入的134.6%，居全市重点项目建设前列。</w:t>
      </w:r>
      <w:r>
        <w:rPr>
          <w:rFonts w:hint="eastAsia" w:ascii="仿宋_GB2312" w:hAnsi="仿宋_GB2312" w:eastAsia="仿宋_GB2312" w:cs="仿宋_GB2312"/>
          <w:b/>
          <w:bCs/>
          <w:snapToGrid w:val="0"/>
          <w:kern w:val="0"/>
          <w:sz w:val="32"/>
          <w:szCs w:val="32"/>
        </w:rPr>
        <w:t>二</w:t>
      </w:r>
      <w:r>
        <w:rPr>
          <w:rFonts w:hint="eastAsia" w:ascii="仿宋_GB2312" w:hAnsi="仿宋_GB2312" w:eastAsia="仿宋_GB2312" w:cs="仿宋_GB2312"/>
          <w:b/>
          <w:bCs/>
          <w:sz w:val="32"/>
          <w:szCs w:val="32"/>
        </w:rPr>
        <w:t>是创新创业大赛再创佳绩。</w:t>
      </w:r>
      <w:r>
        <w:rPr>
          <w:rFonts w:hint="eastAsia" w:ascii="仿宋_GB2312" w:hAnsi="仿宋" w:eastAsia="仿宋_GB2312" w:cs="仿宋_GB2312"/>
          <w:sz w:val="32"/>
          <w:szCs w:val="32"/>
        </w:rPr>
        <w:t>组织全市近200家企业和团队参加创新创业大赛，全市有11家企业和9个团队获省赛优秀奖，其中企业组获奖数排名全省第五，团队获奖排名全省第三，总排名全省第五。5家企业晋级总决赛，其中2家企业获省总决赛成长组三等奖，1家企业获省总决赛初创组三等奖。5家企业晋级国家行业总决赛，其中3家企业获国赛优秀企业奖。获奖数量为历年最高。市科技局连续4年获省创新创业大赛优秀组织奖。</w:t>
      </w:r>
      <w:r>
        <w:rPr>
          <w:rFonts w:hint="eastAsia" w:ascii="仿宋_GB2312" w:hAnsi="仿宋_GB2312" w:eastAsia="仿宋_GB2312" w:cs="仿宋_GB2312"/>
          <w:b/>
          <w:bCs/>
          <w:kern w:val="0"/>
          <w:sz w:val="32"/>
          <w:szCs w:val="32"/>
        </w:rPr>
        <w:t>三是高新技术企业认定创新高。</w:t>
      </w:r>
      <w:r>
        <w:rPr>
          <w:rFonts w:hint="eastAsia" w:ascii="仿宋_GB2312" w:hAnsi="仿宋_GB2312" w:eastAsia="仿宋_GB2312" w:cs="仿宋_GB2312"/>
          <w:kern w:val="0"/>
          <w:sz w:val="32"/>
          <w:szCs w:val="32"/>
        </w:rPr>
        <w:t>全年共申报高新技术企业102家，其中新认定71家，创历史新高，全市现有高新技术企业173家，较去年增长40.7%。</w:t>
      </w:r>
      <w:r>
        <w:rPr>
          <w:rFonts w:hint="eastAsia" w:ascii="仿宋_GB2312" w:hAnsi="仿宋_GB2312" w:eastAsia="仿宋_GB2312" w:cs="仿宋_GB2312"/>
          <w:b/>
          <w:bCs/>
          <w:snapToGrid w:val="0"/>
          <w:kern w:val="0"/>
          <w:sz w:val="32"/>
          <w:szCs w:val="32"/>
        </w:rPr>
        <w:t>四是科技成果转化加速。</w:t>
      </w:r>
      <w:r>
        <w:rPr>
          <w:rFonts w:hint="eastAsia" w:ascii="仿宋_GB2312" w:hAnsi="仿宋_GB2312" w:eastAsia="仿宋_GB2312" w:cs="仿宋_GB2312"/>
          <w:snapToGrid w:val="0"/>
          <w:kern w:val="0"/>
          <w:sz w:val="32"/>
          <w:szCs w:val="32"/>
        </w:rPr>
        <w:t>市科技要素交易市场正式投入运行，促进了永州科技成果转移转化，线上平台已导入待转化科技成果4492项、仪器设施4905台/套、省内外高校50所、省内外科研院所41所、专家人才1185位、科技金融产品262项、工业设计服务专业机构134家、检验认证服务专业机构169家、知识产权服务专业机构85家、科技咨询服务专业机构108家。</w:t>
      </w:r>
      <w:r>
        <w:rPr>
          <w:rFonts w:hint="eastAsia" w:ascii="仿宋_GB2312" w:hAnsi="仿宋_GB2312" w:eastAsia="仿宋_GB2312" w:cs="仿宋_GB2312"/>
          <w:kern w:val="0"/>
          <w:sz w:val="32"/>
          <w:szCs w:val="32"/>
        </w:rPr>
        <w:t>全年全市</w:t>
      </w:r>
      <w:r>
        <w:rPr>
          <w:rFonts w:hint="eastAsia" w:ascii="仿宋_GB2312" w:hAnsi="仿宋_GB2312" w:eastAsia="仿宋_GB2312" w:cs="仿宋_GB2312"/>
          <w:snapToGrid w:val="0"/>
          <w:kern w:val="0"/>
          <w:sz w:val="32"/>
          <w:szCs w:val="32"/>
        </w:rPr>
        <w:t>共登记各类技术合同270项，金额4.28亿元，为年初目标任务的167%，交易额将创历史新高，增幅居全省第三。</w:t>
      </w:r>
      <w:r>
        <w:rPr>
          <w:rFonts w:hint="eastAsia" w:ascii="仿宋_GB2312" w:hAnsi="仿宋_GB2312" w:eastAsia="仿宋_GB2312" w:cs="仿宋_GB2312"/>
          <w:sz w:val="32"/>
          <w:szCs w:val="32"/>
        </w:rPr>
        <w:t>蓝山县承担的省科技成果转移转化示范县项目顺利通过验收。</w:t>
      </w:r>
      <w:r>
        <w:rPr>
          <w:rFonts w:hint="eastAsia" w:ascii="仿宋_GB2312" w:hAnsi="仿宋_GB2312" w:eastAsia="仿宋_GB2312" w:cs="仿宋_GB2312"/>
          <w:snapToGrid w:val="0"/>
          <w:kern w:val="0"/>
          <w:sz w:val="32"/>
          <w:szCs w:val="32"/>
        </w:rPr>
        <w:t>获国家科技进步二等奖1项，</w:t>
      </w:r>
      <w:r>
        <w:rPr>
          <w:rFonts w:hint="eastAsia" w:ascii="仿宋_GB2312" w:hAnsi="仿宋_GB2312" w:eastAsia="仿宋_GB2312" w:cs="仿宋_GB2312"/>
          <w:kern w:val="0"/>
          <w:sz w:val="32"/>
          <w:szCs w:val="32"/>
        </w:rPr>
        <w:t>省科技奖励二等奖1项，三等奖1项。</w:t>
      </w:r>
    </w:p>
    <w:p>
      <w:pPr>
        <w:tabs>
          <w:tab w:val="left" w:pos="5250"/>
        </w:tabs>
        <w:autoSpaceDE w:val="0"/>
        <w:autoSpaceDN w:val="0"/>
        <w:spacing w:line="640" w:lineRule="exact"/>
        <w:ind w:firstLine="640" w:firstLineChars="200"/>
        <w:jc w:val="left"/>
        <w:rPr>
          <w:rFonts w:ascii="仿宋_GB2312" w:hAnsi="仿宋_GB2312" w:eastAsia="仿宋_GB2312" w:cs="仿宋_GB2312"/>
          <w:sz w:val="32"/>
          <w:szCs w:val="32"/>
        </w:rPr>
      </w:pPr>
      <w:r>
        <w:rPr>
          <w:rFonts w:hint="eastAsia" w:ascii="仿宋_GB2312" w:hAnsi="华文楷体" w:eastAsia="仿宋_GB2312" w:cs="华文楷体"/>
          <w:b/>
          <w:bCs/>
          <w:kern w:val="0"/>
          <w:sz w:val="32"/>
          <w:szCs w:val="32"/>
        </w:rPr>
        <w:t>3.</w:t>
      </w:r>
      <w:r>
        <w:rPr>
          <w:rFonts w:hint="eastAsia" w:ascii="仿宋_GB2312" w:hAnsi="华文楷体" w:eastAsia="仿宋_GB2312" w:cs="华文楷体"/>
          <w:b/>
          <w:bCs/>
          <w:sz w:val="32"/>
          <w:szCs w:val="32"/>
        </w:rPr>
        <w:t>科技创新平台与园区建设有新成效。</w:t>
      </w:r>
      <w:r>
        <w:rPr>
          <w:rFonts w:hint="eastAsia" w:ascii="仿宋_GB2312" w:hAnsi="仿宋_GB2312" w:eastAsia="仿宋_GB2312" w:cs="仿宋_GB2312"/>
          <w:b/>
          <w:bCs/>
          <w:sz w:val="32"/>
          <w:szCs w:val="32"/>
        </w:rPr>
        <w:t>一是创建省级以上科技创新平台创新高。</w:t>
      </w:r>
      <w:r>
        <w:rPr>
          <w:rFonts w:hint="eastAsia" w:ascii="仿宋_GB2312" w:hAnsi="仿宋_GB2312" w:eastAsia="仿宋_GB2312" w:cs="仿宋_GB2312"/>
          <w:sz w:val="32"/>
          <w:szCs w:val="32"/>
        </w:rPr>
        <w:t>新通过认定省级工程技术研究中心5家，省国际合作创新中心1家，省级科普基地3家，省产业技术创新联盟1家，省级科技孵化器1家，省级众创空间2家，省级“星创天地”3家，市级科普基地6家。</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napToGrid w:val="0"/>
          <w:kern w:val="0"/>
          <w:sz w:val="32"/>
          <w:szCs w:val="32"/>
        </w:rPr>
        <w:t>是创建省级高新区创新高。</w:t>
      </w:r>
      <w:r>
        <w:rPr>
          <w:rFonts w:hint="eastAsia" w:ascii="仿宋_GB2312" w:hAnsi="仿宋_GB2312" w:eastAsia="仿宋_GB2312" w:cs="仿宋_GB2312"/>
          <w:snapToGrid w:val="0"/>
          <w:kern w:val="0"/>
          <w:sz w:val="32"/>
          <w:szCs w:val="32"/>
        </w:rPr>
        <w:t>祁阳经开区、道县工业区获批为省级高新区，全市现共有4个省级高新区。</w:t>
      </w:r>
      <w:r>
        <w:rPr>
          <w:rFonts w:hint="eastAsia" w:ascii="仿宋_GB2312" w:hAnsi="仿宋_GB2312" w:eastAsia="仿宋_GB2312" w:cs="仿宋_GB2312"/>
          <w:b/>
          <w:bCs/>
          <w:sz w:val="32"/>
          <w:szCs w:val="32"/>
        </w:rPr>
        <w:t>三是永州国家农业科技园区升级顺利推进。</w:t>
      </w:r>
      <w:r>
        <w:rPr>
          <w:rFonts w:hint="eastAsia" w:ascii="仿宋_GB2312" w:hAnsi="仿宋_GB2312" w:eastAsia="仿宋_GB2312" w:cs="仿宋_GB2312"/>
          <w:sz w:val="32"/>
          <w:szCs w:val="32"/>
        </w:rPr>
        <w:t>省科技厅已将永州国家农业科技园区列入向科技部推荐申报的全省唯一一家国家农业高新技术产业示范区。</w:t>
      </w:r>
    </w:p>
    <w:p>
      <w:pPr>
        <w:autoSpaceDE w:val="0"/>
        <w:autoSpaceDN w:val="0"/>
        <w:spacing w:line="640" w:lineRule="exact"/>
        <w:ind w:firstLine="745" w:firstLineChars="233"/>
        <w:rPr>
          <w:rFonts w:ascii="仿宋_GB2312" w:hAnsi="仿宋_GB2312" w:eastAsia="仿宋_GB2312" w:cs="仿宋_GB2312"/>
          <w:sz w:val="32"/>
          <w:szCs w:val="32"/>
        </w:rPr>
      </w:pPr>
      <w:r>
        <w:rPr>
          <w:rFonts w:hint="eastAsia" w:ascii="仿宋_GB2312" w:hAnsi="华文楷体" w:eastAsia="仿宋_GB2312" w:cs="华文楷体"/>
          <w:b/>
          <w:bCs/>
          <w:sz w:val="32"/>
          <w:szCs w:val="32"/>
        </w:rPr>
        <w:t>4.农业农村科技有新作为。</w:t>
      </w:r>
      <w:r>
        <w:rPr>
          <w:rFonts w:hint="eastAsia" w:ascii="仿宋_GB2312" w:hAnsi="仿宋_GB2312" w:eastAsia="仿宋_GB2312" w:cs="仿宋_GB2312"/>
          <w:b/>
          <w:bCs/>
          <w:sz w:val="32"/>
          <w:szCs w:val="32"/>
        </w:rPr>
        <w:t>一是科技专家服务团工作成效明显。</w:t>
      </w:r>
      <w:r>
        <w:rPr>
          <w:rFonts w:hint="eastAsia" w:ascii="仿宋_GB2312" w:hAnsi="仿宋_GB2312" w:eastAsia="仿宋_GB2312" w:cs="仿宋_GB2312"/>
          <w:sz w:val="32"/>
          <w:szCs w:val="32"/>
        </w:rPr>
        <w:t>市本级</w:t>
      </w:r>
      <w:r>
        <w:rPr>
          <w:rFonts w:hint="eastAsia" w:ascii="仿宋_GB2312" w:hAnsi="Calibri" w:eastAsia="仿宋_GB2312" w:cs="Times New Roman"/>
          <w:sz w:val="32"/>
          <w:szCs w:val="32"/>
        </w:rPr>
        <w:t>安排科技特派员项目经费90万元，组织18名市派科技特派员开展乡村创新创业服务工作；</w:t>
      </w:r>
      <w:r>
        <w:rPr>
          <w:rFonts w:hint="eastAsia" w:ascii="仿宋_GB2312" w:hAnsi="仿宋_GB2312" w:eastAsia="仿宋_GB2312" w:cs="仿宋_GB2312"/>
          <w:sz w:val="32"/>
          <w:szCs w:val="32"/>
        </w:rPr>
        <w:t>实现了11个县区科技专家服务团全覆盖，有</w:t>
      </w:r>
      <w:r>
        <w:rPr>
          <w:rFonts w:hint="eastAsia" w:ascii="仿宋_GB2312" w:hAnsi="Calibri" w:eastAsia="仿宋_GB2312" w:cs="Times New Roman"/>
          <w:sz w:val="32"/>
          <w:szCs w:val="32"/>
        </w:rPr>
        <w:t>13家单位获省科技厅科技特派员创新创新项目，</w:t>
      </w:r>
      <w:r>
        <w:rPr>
          <w:rFonts w:hint="eastAsia" w:ascii="仿宋_GB2312" w:hAnsi="仿宋_GB2312" w:eastAsia="仿宋_GB2312" w:cs="仿宋_GB2312"/>
          <w:sz w:val="32"/>
          <w:szCs w:val="32"/>
        </w:rPr>
        <w:t>项目经费130万元，其中新田科技专家服务团为全省9个优秀服务团队之一；全年共获得省科技厅扶贫经费125万元。</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napToGrid w:val="0"/>
          <w:kern w:val="0"/>
          <w:sz w:val="32"/>
          <w:szCs w:val="32"/>
        </w:rPr>
        <w:t>是省级创新型县区实现零的突破。</w:t>
      </w:r>
      <w:r>
        <w:rPr>
          <w:rFonts w:hint="eastAsia" w:ascii="仿宋_GB2312" w:hAnsi="Calibri" w:eastAsia="仿宋_GB2312" w:cs="Times New Roman"/>
          <w:sz w:val="32"/>
          <w:szCs w:val="32"/>
        </w:rPr>
        <w:t>推荐冷水滩、江华两个县区申报省级创新型县区，通过专家评审、现场考察，我市江华县被列入首批省级创新型县（市、区）培育建设名单。</w:t>
      </w:r>
      <w:r>
        <w:rPr>
          <w:rFonts w:hint="eastAsia" w:ascii="仿宋_GB2312" w:hAnsi="Calibri" w:eastAsia="仿宋_GB2312" w:cs="Times New Roman"/>
          <w:b/>
          <w:bCs/>
          <w:sz w:val="32"/>
          <w:szCs w:val="32"/>
        </w:rPr>
        <w:t>三是农业科技扶贫服务平台创建成效明显。</w:t>
      </w:r>
      <w:r>
        <w:rPr>
          <w:rFonts w:hint="eastAsia" w:ascii="仿宋_GB2312" w:hAnsi="Calibri" w:eastAsia="仿宋_GB2312" w:cs="Times New Roman"/>
          <w:sz w:val="32"/>
          <w:szCs w:val="32"/>
        </w:rPr>
        <w:t>全市共新建3家省级星创天地、12家市级星创天地。利用“星创天地”这一科技扶贫服务平台，营造低成本、专业化、社会化、便捷化的农村创新创业环境，支撑引领农村经济转型升级和产业结构调整</w:t>
      </w:r>
      <w:r>
        <w:rPr>
          <w:rFonts w:hint="eastAsia" w:ascii="仿宋_GB2312" w:hAnsi="Calibri" w:eastAsia="仿宋_GB2312" w:cs="Times New Roman"/>
          <w:b/>
          <w:bCs/>
          <w:sz w:val="32"/>
          <w:szCs w:val="32"/>
        </w:rPr>
        <w:t>。四是科普工作扎实开展。</w:t>
      </w:r>
      <w:r>
        <w:rPr>
          <w:rFonts w:hint="eastAsia" w:ascii="仿宋_GB2312" w:hAnsi="仿宋_GB2312" w:eastAsia="仿宋_GB2312" w:cs="仿宋_GB2312"/>
          <w:sz w:val="32"/>
          <w:szCs w:val="32"/>
        </w:rPr>
        <w:t>开展“科技下乡”活动。1月30日，组织市直各科研所选派16名农业科技专家组成服务队伍，到冷水滩区上岭桥镇仁山村开展送科技下乡，发放《永州科技扶贫产业发展实用技术》等资料1600份，捐赠现金2万元及价值1万多元的实用物资；组织开展科技活动周系列科普活动。5月17日上午，2019年永州科技活动周启动仪式在永州经开区地质装备产业园举行，共330人参加活动，反响强烈，效果较好，科技活动周期间，全市共组织开展科普活动100余场次。</w:t>
      </w:r>
    </w:p>
    <w:p>
      <w:pPr>
        <w:autoSpaceDE w:val="0"/>
        <w:autoSpaceDN w:val="0"/>
        <w:spacing w:line="6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5.外国专家与人才工作有新突破。</w:t>
      </w:r>
      <w:r>
        <w:rPr>
          <w:rFonts w:hint="eastAsia" w:ascii="仿宋_GB2312" w:hAnsi="Calibri" w:eastAsia="仿宋_GB2312" w:cs="Times New Roman"/>
          <w:sz w:val="32"/>
          <w:szCs w:val="32"/>
        </w:rPr>
        <w:t>一是提升“外国人来华工作许可”优质服务质量。通过优化流程，在线指导，把好网上预审关，节约审批时间3-5天，2019年审批增外国人用人单位10家，超过历年累计8家。二是争取省人才及引智项目13个，入选“湖湘青年英才”4人，湖南兵器建华精密仪器探测制导与控制技术领域创新团队列入湖南省企业科技创新创业团队，中国古巴生物技术创新中心列入省国际科技创新合作基地成功。三是圆满完成市人才领导小组部署的“</w:t>
      </w:r>
      <w:r>
        <w:rPr>
          <w:rFonts w:hint="eastAsia" w:ascii="仿宋_GB2312" w:hAnsi="仿宋_GB2312" w:eastAsia="仿宋_GB2312" w:cs="仿宋_GB2312"/>
          <w:bCs/>
          <w:snapToGrid w:val="0"/>
          <w:kern w:val="0"/>
          <w:sz w:val="32"/>
          <w:szCs w:val="32"/>
        </w:rPr>
        <w:t>2019年重点人才工作任务</w:t>
      </w:r>
      <w:r>
        <w:rPr>
          <w:rFonts w:hint="eastAsia" w:ascii="仿宋_GB2312" w:hAnsi="Calibri" w:eastAsia="仿宋_GB2312" w:cs="Times New Roman"/>
          <w:sz w:val="32"/>
          <w:szCs w:val="32"/>
        </w:rPr>
        <w:t>”，开展了高层次创新人才专项调研，并形成了高质量的调研报告。</w:t>
      </w:r>
    </w:p>
    <w:p>
      <w:pPr>
        <w:shd w:val="clear" w:color="auto" w:fill="FFFFFF"/>
        <w:autoSpaceDE w:val="0"/>
        <w:autoSpaceDN w:val="0"/>
        <w:adjustRightInd w:val="0"/>
        <w:snapToGrid w:val="0"/>
        <w:spacing w:line="640" w:lineRule="exact"/>
        <w:ind w:firstLine="640" w:firstLineChars="200"/>
        <w:jc w:val="left"/>
        <w:rPr>
          <w:rFonts w:cs="宋体" w:asciiTheme="minorEastAsia" w:hAnsiTheme="minorEastAsia"/>
          <w:b/>
          <w:kern w:val="0"/>
          <w:sz w:val="32"/>
          <w:szCs w:val="32"/>
        </w:rPr>
      </w:pPr>
      <w:r>
        <w:rPr>
          <w:rFonts w:hint="eastAsia" w:cs="宋体" w:asciiTheme="minorEastAsia" w:hAnsiTheme="minorEastAsia"/>
          <w:b/>
          <w:kern w:val="0"/>
          <w:sz w:val="32"/>
          <w:szCs w:val="32"/>
        </w:rPr>
        <w:t>（四）下一步工作安排</w:t>
      </w:r>
    </w:p>
    <w:p>
      <w:pPr>
        <w:autoSpaceDE w:val="0"/>
        <w:autoSpaceDN w:val="0"/>
        <w:spacing w:line="640" w:lineRule="exact"/>
        <w:ind w:firstLine="640" w:firstLineChars="200"/>
        <w:rPr>
          <w:rFonts w:ascii="仿宋_GB2312" w:hAnsi="Calibri" w:eastAsia="仿宋_GB2312" w:cs="Times New Roman"/>
          <w:bCs/>
          <w:sz w:val="32"/>
          <w:szCs w:val="32"/>
        </w:rPr>
      </w:pPr>
      <w:r>
        <w:rPr>
          <w:rFonts w:hint="eastAsia" w:ascii="仿宋_GB2312" w:hAnsi="仿宋" w:eastAsia="仿宋_GB2312" w:cs="Times New Roman"/>
          <w:color w:val="000000"/>
          <w:sz w:val="32"/>
          <w:szCs w:val="32"/>
        </w:rPr>
        <w:t>总的来看，我局预算绩效管理工作虽然取得了一些成绩，但也存在一些问题需要解决，还有一些不足之处需要完善。</w:t>
      </w:r>
      <w:r>
        <w:rPr>
          <w:rFonts w:hint="eastAsia" w:ascii="仿宋_GB2312" w:hAnsi="Calibri" w:eastAsia="仿宋_GB2312" w:cs="Times New Roman"/>
          <w:bCs/>
          <w:sz w:val="32"/>
          <w:szCs w:val="32"/>
        </w:rPr>
        <w:t>2020年我局将充分利用绩效评价结果，</w:t>
      </w:r>
      <w:r>
        <w:rPr>
          <w:rFonts w:hint="eastAsia" w:ascii="仿宋_GB2312" w:hAnsi="Calibri" w:eastAsia="仿宋_GB2312" w:cs="Times New Roman"/>
          <w:sz w:val="32"/>
          <w:szCs w:val="32"/>
        </w:rPr>
        <w:t>争取省以上科技计划项目40项以上；全社会研发经费投入总量达到46亿元以上；新认定高新技术企业80家以上；创建省级以上科技创新平台3家以上；创成省级科技园区1个以上。</w:t>
      </w:r>
    </w:p>
    <w:p>
      <w:pPr>
        <w:pStyle w:val="5"/>
        <w:widowControl w:val="0"/>
        <w:shd w:val="clear" w:color="auto" w:fill="FFFFFF"/>
        <w:autoSpaceDE w:val="0"/>
        <w:autoSpaceDN w:val="0"/>
        <w:spacing w:before="0" w:beforeAutospacing="0" w:after="0" w:afterAutospacing="0" w:line="640" w:lineRule="exact"/>
        <w:ind w:firstLine="628"/>
        <w:jc w:val="both"/>
        <w:rPr>
          <w:rFonts w:cs="Times New Roman" w:asciiTheme="minorEastAsia" w:hAnsiTheme="minorEastAsia" w:eastAsiaTheme="minorEastAsia"/>
          <w:b/>
          <w:color w:val="555555"/>
          <w:sz w:val="32"/>
          <w:szCs w:val="32"/>
        </w:rPr>
      </w:pPr>
      <w:r>
        <w:rPr>
          <w:rFonts w:hint="eastAsia" w:cs="Times New Roman" w:asciiTheme="minorEastAsia" w:hAnsiTheme="minorEastAsia" w:eastAsiaTheme="minorEastAsia"/>
          <w:b/>
          <w:color w:val="000000"/>
          <w:sz w:val="32"/>
          <w:szCs w:val="32"/>
        </w:rPr>
        <w:t>（五）改进措施和建议</w:t>
      </w:r>
    </w:p>
    <w:p>
      <w:pPr>
        <w:pStyle w:val="5"/>
        <w:widowControl w:val="0"/>
        <w:shd w:val="clear" w:color="auto" w:fill="FFFFFF"/>
        <w:autoSpaceDE w:val="0"/>
        <w:autoSpaceDN w:val="0"/>
        <w:spacing w:before="0" w:beforeAutospacing="0" w:after="0" w:afterAutospacing="0" w:line="640" w:lineRule="exact"/>
        <w:ind w:firstLine="628"/>
        <w:jc w:val="both"/>
        <w:rPr>
          <w:rFonts w:ascii="仿宋_GB2312" w:hAnsi="Times New Roman" w:eastAsia="仿宋_GB2312" w:cs="Times New Roman"/>
          <w:color w:val="555555"/>
          <w:sz w:val="32"/>
          <w:szCs w:val="32"/>
        </w:rPr>
      </w:pPr>
      <w:r>
        <w:rPr>
          <w:rFonts w:hint="eastAsia" w:ascii="仿宋_GB2312" w:hAnsi="仿宋" w:eastAsia="仿宋_GB2312" w:cs="Times New Roman"/>
          <w:color w:val="000000"/>
          <w:sz w:val="32"/>
          <w:szCs w:val="32"/>
        </w:rPr>
        <w:t>1、逐步扩大绩效管理范围。在绩效目标管理方面，探索实施单位整体支出绩效目标管理，施行整体支出评价。</w:t>
      </w:r>
    </w:p>
    <w:p>
      <w:pPr>
        <w:pStyle w:val="5"/>
        <w:widowControl w:val="0"/>
        <w:shd w:val="clear" w:color="auto" w:fill="FFFFFF"/>
        <w:autoSpaceDE w:val="0"/>
        <w:autoSpaceDN w:val="0"/>
        <w:spacing w:before="0" w:beforeAutospacing="0" w:after="0" w:afterAutospacing="0" w:line="640" w:lineRule="exact"/>
        <w:ind w:firstLine="628"/>
        <w:jc w:val="both"/>
        <w:rPr>
          <w:rFonts w:ascii="仿宋_GB2312" w:hAnsi="Times New Roman" w:eastAsia="仿宋_GB2312" w:cs="Times New Roman"/>
          <w:color w:val="555555"/>
          <w:sz w:val="32"/>
          <w:szCs w:val="32"/>
        </w:rPr>
      </w:pPr>
      <w:r>
        <w:rPr>
          <w:rFonts w:hint="eastAsia" w:ascii="仿宋_GB2312" w:hAnsi="仿宋" w:eastAsia="仿宋_GB2312" w:cs="Times New Roman"/>
          <w:color w:val="000000"/>
          <w:sz w:val="32"/>
          <w:szCs w:val="32"/>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pPr>
        <w:pStyle w:val="5"/>
        <w:widowControl w:val="0"/>
        <w:shd w:val="clear" w:color="auto" w:fill="FFFFFF"/>
        <w:autoSpaceDE w:val="0"/>
        <w:autoSpaceDN w:val="0"/>
        <w:spacing w:before="0" w:beforeAutospacing="0" w:after="0" w:afterAutospacing="0" w:line="640" w:lineRule="exact"/>
        <w:ind w:firstLine="628"/>
        <w:jc w:val="both"/>
        <w:rPr>
          <w:rFonts w:ascii="仿宋_GB2312" w:hAnsi="Times New Roman" w:eastAsia="仿宋_GB2312" w:cs="Times New Roman"/>
          <w:color w:val="555555"/>
          <w:sz w:val="32"/>
          <w:szCs w:val="32"/>
        </w:rPr>
      </w:pPr>
      <w:r>
        <w:rPr>
          <w:rFonts w:hint="eastAsia" w:ascii="仿宋_GB2312" w:hAnsi="仿宋" w:eastAsia="仿宋_GB2312" w:cs="Times New Roman"/>
          <w:color w:val="000000"/>
          <w:sz w:val="32"/>
          <w:szCs w:val="32"/>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spacing w:line="560" w:lineRule="exact"/>
        <w:jc w:val="center"/>
        <w:rPr>
          <w:rFonts w:ascii="方正小标宋简体" w:hAnsi="宋体" w:eastAsia="方正小标宋简体" w:cs="宋体"/>
          <w:bCs/>
          <w:kern w:val="0"/>
          <w:sz w:val="24"/>
        </w:rPr>
      </w:pPr>
      <w:r>
        <w:rPr>
          <w:rFonts w:hint="eastAsia" w:ascii="方正小标宋简体" w:hAnsi="宋体" w:eastAsia="方正小标宋简体" w:cs="宋体"/>
          <w:bCs/>
          <w:kern w:val="0"/>
          <w:sz w:val="36"/>
          <w:szCs w:val="36"/>
        </w:rPr>
        <w:t>部门整体支出绩效评价表</w:t>
      </w:r>
    </w:p>
    <w:tbl>
      <w:tblPr>
        <w:tblStyle w:val="7"/>
        <w:tblW w:w="10600" w:type="dxa"/>
        <w:jc w:val="center"/>
        <w:tblInd w:w="0" w:type="dxa"/>
        <w:tblLayout w:type="fixed"/>
        <w:tblCellMar>
          <w:top w:w="0" w:type="dxa"/>
          <w:left w:w="108" w:type="dxa"/>
          <w:bottom w:w="0" w:type="dxa"/>
          <w:right w:w="108" w:type="dxa"/>
        </w:tblCellMar>
      </w:tblPr>
      <w:tblGrid>
        <w:gridCol w:w="518"/>
        <w:gridCol w:w="416"/>
        <w:gridCol w:w="677"/>
        <w:gridCol w:w="517"/>
        <w:gridCol w:w="1004"/>
        <w:gridCol w:w="479"/>
        <w:gridCol w:w="2862"/>
        <w:gridCol w:w="3322"/>
        <w:gridCol w:w="805"/>
      </w:tblGrid>
      <w:tr>
        <w:tblPrEx>
          <w:tblLayout w:type="fixed"/>
          <w:tblCellMar>
            <w:top w:w="0" w:type="dxa"/>
            <w:left w:w="108" w:type="dxa"/>
            <w:bottom w:w="0" w:type="dxa"/>
            <w:right w:w="108" w:type="dxa"/>
          </w:tblCellMar>
        </w:tblPrEx>
        <w:trPr>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二级指标</w:t>
            </w:r>
          </w:p>
        </w:tc>
        <w:tc>
          <w:tcPr>
            <w:tcW w:w="51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分值</w:t>
            </w:r>
          </w:p>
        </w:tc>
        <w:tc>
          <w:tcPr>
            <w:tcW w:w="100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分值</w:t>
            </w:r>
          </w:p>
        </w:tc>
        <w:tc>
          <w:tcPr>
            <w:tcW w:w="286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评价标准</w:t>
            </w:r>
          </w:p>
        </w:tc>
        <w:tc>
          <w:tcPr>
            <w:tcW w:w="33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指标说明</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得分</w:t>
            </w:r>
          </w:p>
        </w:tc>
      </w:tr>
      <w:tr>
        <w:tblPrEx>
          <w:tblLayout w:type="fixed"/>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预算配置</w:t>
            </w:r>
          </w:p>
        </w:tc>
        <w:tc>
          <w:tcPr>
            <w:tcW w:w="51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在职人员控制率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nil"/>
              <w:left w:val="nil"/>
              <w:bottom w:val="nil"/>
              <w:right w:val="nil"/>
            </w:tcBorders>
            <w:vAlign w:val="center"/>
          </w:tcPr>
          <w:p>
            <w:pPr>
              <w:widowControl/>
              <w:jc w:val="left"/>
              <w:rPr>
                <w:rFonts w:eastAsia="仿宋_GB2312"/>
                <w:kern w:val="0"/>
                <w:sz w:val="20"/>
                <w:szCs w:val="20"/>
              </w:rPr>
            </w:pPr>
            <w:r>
              <w:rPr>
                <w:rFonts w:eastAsia="仿宋_GB2312"/>
                <w:kern w:val="0"/>
                <w:sz w:val="20"/>
                <w:szCs w:val="20"/>
              </w:rPr>
              <w:t>以100%为标准。在职人员控制率</w:t>
            </w:r>
            <w:r>
              <w:rPr>
                <w:kern w:val="0"/>
                <w:sz w:val="20"/>
                <w:szCs w:val="20"/>
              </w:rPr>
              <w:t>≦</w:t>
            </w:r>
            <w:r>
              <w:rPr>
                <w:rFonts w:eastAsia="仿宋_GB2312"/>
                <w:kern w:val="0"/>
                <w:sz w:val="20"/>
                <w:szCs w:val="20"/>
              </w:rPr>
              <w:t>100%，计5分；每超过一个百分点扣0.5分，扣完为止。</w:t>
            </w:r>
          </w:p>
        </w:tc>
        <w:tc>
          <w:tcPr>
            <w:tcW w:w="332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在职人员控制率=（在职人员数/编制数）×100%，在职人员数：部门（单位）实际在职人数，以</w:t>
            </w:r>
            <w:r>
              <w:rPr>
                <w:rFonts w:hint="eastAsia" w:eastAsia="仿宋_GB2312"/>
                <w:kern w:val="0"/>
                <w:sz w:val="20"/>
                <w:szCs w:val="20"/>
              </w:rPr>
              <w:t>市</w:t>
            </w:r>
            <w:r>
              <w:rPr>
                <w:rFonts w:eastAsia="仿宋_GB2312"/>
                <w:kern w:val="0"/>
                <w:sz w:val="20"/>
                <w:szCs w:val="20"/>
              </w:rPr>
              <w:t>财政</w:t>
            </w:r>
            <w:r>
              <w:rPr>
                <w:rFonts w:hint="eastAsia" w:eastAsia="仿宋_GB2312"/>
                <w:kern w:val="0"/>
                <w:sz w:val="20"/>
                <w:szCs w:val="20"/>
              </w:rPr>
              <w:t>局</w:t>
            </w:r>
            <w:r>
              <w:rPr>
                <w:rFonts w:eastAsia="仿宋_GB2312"/>
                <w:kern w:val="0"/>
                <w:sz w:val="20"/>
                <w:szCs w:val="20"/>
              </w:rPr>
              <w:t>确定的部门决算编制口径为准。</w:t>
            </w:r>
            <w:r>
              <w:rPr>
                <w:rFonts w:eastAsia="仿宋_GB2312"/>
                <w:kern w:val="0"/>
                <w:sz w:val="20"/>
                <w:szCs w:val="20"/>
              </w:rPr>
              <w:br w:type="textWrapping"/>
            </w:r>
            <w:r>
              <w:rPr>
                <w:rFonts w:eastAsia="仿宋_GB2312"/>
                <w:kern w:val="0"/>
                <w:sz w:val="20"/>
                <w:szCs w:val="20"/>
              </w:rPr>
              <w:t>编制数：机构编制部门核定批复的部门（单位）的人员编制数。</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“三公经费”变动率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“三公经费”变动率</w:t>
            </w:r>
            <w:r>
              <w:rPr>
                <w:kern w:val="0"/>
                <w:sz w:val="20"/>
                <w:szCs w:val="20"/>
              </w:rPr>
              <w:t>≦</w:t>
            </w:r>
            <w:r>
              <w:rPr>
                <w:rFonts w:eastAsia="仿宋_GB2312"/>
                <w:kern w:val="0"/>
                <w:sz w:val="20"/>
                <w:szCs w:val="20"/>
              </w:rPr>
              <w:t>0,计8分；“三公经费”＞0，每超过一个百分点扣0.8分，扣完为止。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“三公经费”变动率=[（本年度“三公经费”预算数-上年度“三公经费”预算数）/上年度“三公经费”预算数]×100%</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8</w:t>
            </w:r>
          </w:p>
        </w:tc>
      </w:tr>
      <w:tr>
        <w:tblPrEx>
          <w:tblLayout w:type="fixed"/>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预算执行</w:t>
            </w:r>
          </w:p>
        </w:tc>
        <w:tc>
          <w:tcPr>
            <w:tcW w:w="51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预算完成率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100%计满分，每低于5%扣2分，扣完为止。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预算完成率=（上年结转+年初预算+本年追加预算-年末结余）/（上年结转+年初预算+本年追加预算）×100%。</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Layout w:type="fixed"/>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预算控制率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预算控制率=0，计5分；0-10%（含），计4分；10-20%（含），计3分；20-30%（含），计2分；大于30%不得分。</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预算控制率=（本年追加预算/年初预算）×100%。</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0</w:t>
            </w:r>
          </w:p>
        </w:tc>
      </w:tr>
      <w:tr>
        <w:tblPrEx>
          <w:tblLayout w:type="fixed"/>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100%以下（含）计满分，每超出5%扣2分，扣完为止。没有楼堂馆所项目的部门按满分计算。</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楼堂馆所面积控制率=实际建设面积/批准建设面积×100% 。</w:t>
            </w:r>
            <w:r>
              <w:rPr>
                <w:rFonts w:eastAsia="仿宋_GB2312"/>
                <w:kern w:val="0"/>
                <w:sz w:val="20"/>
                <w:szCs w:val="20"/>
              </w:rPr>
              <w:br w:type="textWrapping"/>
            </w:r>
            <w:r>
              <w:rPr>
                <w:rFonts w:eastAsia="仿宋_GB2312"/>
                <w:kern w:val="0"/>
                <w:sz w:val="20"/>
                <w:szCs w:val="20"/>
              </w:rPr>
              <w:t>该指标以201</w:t>
            </w:r>
            <w:r>
              <w:rPr>
                <w:rFonts w:hint="eastAsia" w:eastAsia="仿宋_GB2312"/>
                <w:kern w:val="0"/>
                <w:sz w:val="20"/>
                <w:szCs w:val="20"/>
              </w:rPr>
              <w:t>7</w:t>
            </w:r>
            <w:r>
              <w:rPr>
                <w:rFonts w:eastAsia="仿宋_GB2312"/>
                <w:kern w:val="0"/>
                <w:sz w:val="20"/>
                <w:szCs w:val="20"/>
              </w:rPr>
              <w:t>年完工的新建楼堂馆所为评价内容。</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Layout w:type="fixed"/>
          <w:tblCellMar>
            <w:top w:w="0" w:type="dxa"/>
            <w:left w:w="108" w:type="dxa"/>
            <w:bottom w:w="0" w:type="dxa"/>
            <w:right w:w="108" w:type="dxa"/>
          </w:tblCellMar>
        </w:tblPrEx>
        <w:trPr>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100%以下（含）计满分，每超出5%扣2分，扣完为止。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楼堂馆所投资预算控制率=实际投资金额/批准投资金额×100% 。</w:t>
            </w:r>
            <w:r>
              <w:rPr>
                <w:rFonts w:eastAsia="仿宋_GB2312"/>
                <w:kern w:val="0"/>
                <w:sz w:val="20"/>
                <w:szCs w:val="20"/>
              </w:rPr>
              <w:br w:type="textWrapping"/>
            </w:r>
            <w:r>
              <w:rPr>
                <w:rFonts w:eastAsia="仿宋_GB2312"/>
                <w:kern w:val="0"/>
                <w:sz w:val="20"/>
                <w:szCs w:val="20"/>
              </w:rPr>
              <w:t>该指标以201</w:t>
            </w:r>
            <w:r>
              <w:rPr>
                <w:rFonts w:hint="eastAsia" w:eastAsia="仿宋_GB2312"/>
                <w:kern w:val="0"/>
                <w:sz w:val="20"/>
                <w:szCs w:val="20"/>
              </w:rPr>
              <w:t>7</w:t>
            </w:r>
            <w:r>
              <w:rPr>
                <w:rFonts w:eastAsia="仿宋_GB2312"/>
                <w:kern w:val="0"/>
                <w:sz w:val="20"/>
                <w:szCs w:val="20"/>
              </w:rPr>
              <w:t>年完工的新建楼堂馆所为评价内容。</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Layout w:type="fixed"/>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预算管理</w:t>
            </w:r>
          </w:p>
        </w:tc>
        <w:tc>
          <w:tcPr>
            <w:tcW w:w="51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公用经费控制率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100%以下（含）计满分，每超出1%扣1分，扣完为止。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公用经费控制率=（实际支出公用经费总额/预算安排公用经费总额）×100%。</w:t>
            </w:r>
            <w:r>
              <w:rPr>
                <w:rFonts w:eastAsia="仿宋_GB2312"/>
                <w:kern w:val="0"/>
                <w:sz w:val="20"/>
                <w:szCs w:val="20"/>
              </w:rPr>
              <w:br w:type="textWrapping"/>
            </w:r>
            <w:r>
              <w:rPr>
                <w:rFonts w:eastAsia="仿宋_GB2312"/>
                <w:kern w:val="0"/>
                <w:sz w:val="20"/>
                <w:szCs w:val="20"/>
              </w:rPr>
              <w:t>公用经费支出是指部门基本支出中的一般商品和服务支出。</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0</w:t>
            </w:r>
          </w:p>
        </w:tc>
      </w:tr>
      <w:tr>
        <w:tblPrEx>
          <w:tblLayout w:type="fixed"/>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“三公经费”控制率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100%以下（含）计满分，每超出1%扣1分，扣完为止。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“三公经费”控制率-（“三公经费”实际支出数/“三公经费”预算安排数）×100%。</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7</w:t>
            </w:r>
          </w:p>
        </w:tc>
      </w:tr>
      <w:tr>
        <w:tblPrEx>
          <w:tblLayout w:type="fixed"/>
          <w:tblCellMar>
            <w:top w:w="0" w:type="dxa"/>
            <w:left w:w="108" w:type="dxa"/>
            <w:bottom w:w="0" w:type="dxa"/>
            <w:right w:w="108" w:type="dxa"/>
          </w:tblCellMar>
        </w:tblPrEx>
        <w:trPr>
          <w:trHeight w:val="91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政府采购执行率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100%计满分，每超过（降低）5%扣2分。扣完为止。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政府采购执行率=（实际政府采购金额/政府采购预算数）×100%</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6</w:t>
            </w:r>
          </w:p>
        </w:tc>
      </w:tr>
      <w:tr>
        <w:tblPrEx>
          <w:tblLayout w:type="fixed"/>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p>
          <w:p>
            <w:pPr>
              <w:jc w:val="left"/>
              <w:rPr>
                <w:rFonts w:eastAsia="仿宋_GB2312"/>
                <w:kern w:val="0"/>
                <w:sz w:val="20"/>
                <w:szCs w:val="20"/>
              </w:rPr>
            </w:pPr>
            <w:r>
              <w:rPr>
                <w:rFonts w:eastAsia="仿宋_GB2312"/>
                <w:kern w:val="0"/>
                <w:sz w:val="20"/>
                <w:szCs w:val="20"/>
              </w:rPr>
              <w:t>过                                                                                                                                       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r>
              <w:rPr>
                <w:rFonts w:eastAsia="仿宋_GB2312"/>
                <w:kern w:val="0"/>
                <w:sz w:val="20"/>
                <w:szCs w:val="20"/>
              </w:rPr>
              <w:t>预算管理</w:t>
            </w: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p>
          <w:p>
            <w:pPr>
              <w:widowControl/>
              <w:jc w:val="left"/>
              <w:rPr>
                <w:rFonts w:eastAsia="仿宋_GB2312"/>
                <w:kern w:val="0"/>
                <w:sz w:val="20"/>
                <w:szCs w:val="20"/>
              </w:rPr>
            </w:pPr>
            <w:r>
              <w:rPr>
                <w:rFonts w:eastAsia="仿宋_GB2312"/>
                <w:kern w:val="0"/>
                <w:sz w:val="20"/>
                <w:szCs w:val="20"/>
              </w:rPr>
              <w:t>管理制度健全性</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p>
          <w:p>
            <w:pPr>
              <w:widowControl/>
              <w:jc w:val="center"/>
              <w:rPr>
                <w:rFonts w:eastAsia="仿宋_GB2312"/>
                <w:kern w:val="0"/>
                <w:sz w:val="20"/>
                <w:szCs w:val="20"/>
              </w:rPr>
            </w:pPr>
          </w:p>
          <w:p>
            <w:pPr>
              <w:widowControl/>
              <w:jc w:val="center"/>
              <w:rPr>
                <w:rFonts w:eastAsia="仿宋_GB2312"/>
                <w:kern w:val="0"/>
                <w:sz w:val="20"/>
                <w:szCs w:val="20"/>
              </w:rPr>
            </w:pPr>
          </w:p>
          <w:p>
            <w:pPr>
              <w:widowControl/>
              <w:jc w:val="center"/>
              <w:rPr>
                <w:rFonts w:eastAsia="仿宋_GB2312"/>
                <w:kern w:val="0"/>
                <w:sz w:val="20"/>
                <w:szCs w:val="20"/>
              </w:rPr>
            </w:pPr>
          </w:p>
          <w:p>
            <w:pPr>
              <w:widowControl/>
              <w:rPr>
                <w:rFonts w:eastAsia="仿宋_GB2312"/>
                <w:kern w:val="0"/>
                <w:sz w:val="20"/>
                <w:szCs w:val="20"/>
              </w:rPr>
            </w:pPr>
          </w:p>
          <w:p>
            <w:pPr>
              <w:widowControl/>
              <w:jc w:val="center"/>
              <w:rPr>
                <w:rFonts w:eastAsia="仿宋_GB2312"/>
                <w:kern w:val="0"/>
                <w:sz w:val="20"/>
                <w:szCs w:val="20"/>
              </w:rPr>
            </w:pPr>
            <w:r>
              <w:rPr>
                <w:rFonts w:eastAsia="仿宋_GB2312"/>
                <w:kern w:val="0"/>
                <w:sz w:val="20"/>
                <w:szCs w:val="20"/>
              </w:rPr>
              <w:t>8</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①有内部财务管理制度、会计核算制度等管理制度，2分；</w:t>
            </w:r>
            <w:r>
              <w:rPr>
                <w:rFonts w:eastAsia="仿宋_GB2312"/>
                <w:kern w:val="0"/>
                <w:sz w:val="20"/>
                <w:szCs w:val="20"/>
              </w:rPr>
              <w:br w:type="textWrapping"/>
            </w:r>
            <w:r>
              <w:rPr>
                <w:rFonts w:eastAsia="仿宋_GB2312"/>
                <w:kern w:val="0"/>
                <w:sz w:val="20"/>
                <w:szCs w:val="20"/>
              </w:rPr>
              <w:t>②有本部门厉行节约制度,2分；</w:t>
            </w:r>
            <w:r>
              <w:rPr>
                <w:rFonts w:eastAsia="仿宋_GB2312"/>
                <w:kern w:val="0"/>
                <w:sz w:val="20"/>
                <w:szCs w:val="20"/>
              </w:rPr>
              <w:br w:type="textWrapping"/>
            </w:r>
            <w:r>
              <w:rPr>
                <w:rFonts w:eastAsia="仿宋_GB2312"/>
                <w:kern w:val="0"/>
                <w:sz w:val="20"/>
                <w:szCs w:val="20"/>
              </w:rPr>
              <w:t>③相关管理制度合法、合规、完整，2分；④相关管理制度得到有效执行，2分。</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　</w:t>
            </w:r>
          </w:p>
        </w:tc>
        <w:tc>
          <w:tcPr>
            <w:tcW w:w="805" w:type="dxa"/>
            <w:tcBorders>
              <w:top w:val="nil"/>
              <w:left w:val="nil"/>
              <w:bottom w:val="single" w:color="auto" w:sz="4" w:space="0"/>
              <w:right w:val="single" w:color="auto" w:sz="4" w:space="0"/>
            </w:tcBorders>
            <w:vAlign w:val="center"/>
          </w:tcPr>
          <w:p>
            <w:pPr>
              <w:widowControl/>
              <w:jc w:val="center"/>
              <w:rPr>
                <w:kern w:val="0"/>
                <w:sz w:val="24"/>
              </w:rPr>
            </w:pPr>
          </w:p>
          <w:p>
            <w:pPr>
              <w:widowControl/>
              <w:jc w:val="center"/>
              <w:rPr>
                <w:kern w:val="0"/>
                <w:sz w:val="24"/>
              </w:rPr>
            </w:pPr>
          </w:p>
          <w:p>
            <w:pPr>
              <w:widowControl/>
              <w:jc w:val="center"/>
              <w:rPr>
                <w:kern w:val="0"/>
                <w:sz w:val="24"/>
              </w:rPr>
            </w:pPr>
          </w:p>
          <w:p>
            <w:pPr>
              <w:widowControl/>
              <w:jc w:val="center"/>
              <w:rPr>
                <w:kern w:val="0"/>
                <w:sz w:val="24"/>
              </w:rPr>
            </w:pPr>
          </w:p>
          <w:p>
            <w:pPr>
              <w:widowControl/>
              <w:jc w:val="center"/>
              <w:rPr>
                <w:kern w:val="0"/>
                <w:sz w:val="24"/>
              </w:rPr>
            </w:pPr>
          </w:p>
          <w:p>
            <w:pPr>
              <w:widowControl/>
              <w:jc w:val="center"/>
              <w:rPr>
                <w:kern w:val="0"/>
                <w:sz w:val="24"/>
              </w:rPr>
            </w:pPr>
            <w:r>
              <w:rPr>
                <w:rFonts w:hint="eastAsia"/>
                <w:kern w:val="0"/>
                <w:sz w:val="24"/>
              </w:rPr>
              <w:t>8</w:t>
            </w:r>
          </w:p>
        </w:tc>
      </w:tr>
      <w:tr>
        <w:tblPrEx>
          <w:tblLayout w:type="fixed"/>
          <w:tblCellMar>
            <w:top w:w="0" w:type="dxa"/>
            <w:left w:w="108" w:type="dxa"/>
            <w:bottom w:w="0" w:type="dxa"/>
            <w:right w:w="108" w:type="dxa"/>
          </w:tblCellMar>
        </w:tblPrEx>
        <w:trPr>
          <w:trHeight w:val="301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资金使用合规性</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eastAsia="仿宋_GB2312"/>
                <w:kern w:val="0"/>
                <w:sz w:val="20"/>
                <w:szCs w:val="20"/>
              </w:rPr>
              <w:t>以上情况每出现一例不符合要求的扣1分，扣完为止。</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　</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6</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Layout w:type="fixed"/>
          <w:tblCellMar>
            <w:top w:w="0" w:type="dxa"/>
            <w:left w:w="108" w:type="dxa"/>
            <w:bottom w:w="0" w:type="dxa"/>
            <w:right w:w="108" w:type="dxa"/>
          </w:tblCellMar>
        </w:tblPrEx>
        <w:trPr>
          <w:trHeight w:val="1735" w:hRule="atLeast"/>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职责履行</w:t>
            </w:r>
          </w:p>
        </w:tc>
        <w:tc>
          <w:tcPr>
            <w:tcW w:w="51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12</w:t>
            </w:r>
          </w:p>
        </w:tc>
        <w:tc>
          <w:tcPr>
            <w:tcW w:w="100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职能职责完成；</w:t>
            </w:r>
            <w:r>
              <w:rPr>
                <w:rFonts w:eastAsia="仿宋_GB2312"/>
                <w:kern w:val="0"/>
                <w:sz w:val="20"/>
                <w:szCs w:val="20"/>
              </w:rPr>
              <w:t>重点工作实际完成率</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12</w:t>
            </w:r>
          </w:p>
        </w:tc>
        <w:tc>
          <w:tcPr>
            <w:tcW w:w="2862" w:type="dxa"/>
            <w:tcBorders>
              <w:top w:val="nil"/>
              <w:left w:val="nil"/>
              <w:bottom w:val="single" w:color="auto" w:sz="4" w:space="0"/>
              <w:right w:val="single" w:color="auto" w:sz="4" w:space="0"/>
            </w:tcBorders>
            <w:vAlign w:val="center"/>
          </w:tcPr>
          <w:p>
            <w:pPr>
              <w:widowControl/>
              <w:ind w:firstLine="200" w:firstLineChars="100"/>
              <w:jc w:val="left"/>
              <w:rPr>
                <w:rFonts w:eastAsia="仿宋_GB2312"/>
                <w:kern w:val="0"/>
                <w:sz w:val="20"/>
                <w:szCs w:val="20"/>
              </w:rPr>
            </w:pPr>
            <w:r>
              <w:rPr>
                <w:rFonts w:eastAsia="仿宋_GB2312"/>
                <w:kern w:val="0"/>
                <w:sz w:val="20"/>
                <w:szCs w:val="20"/>
              </w:rPr>
              <w:t>部门</w:t>
            </w:r>
            <w:r>
              <w:rPr>
                <w:rFonts w:hint="eastAsia" w:eastAsia="仿宋_GB2312"/>
                <w:kern w:val="0"/>
                <w:sz w:val="20"/>
                <w:szCs w:val="20"/>
              </w:rPr>
              <w:t>单位履职履责情况6分；</w:t>
            </w:r>
            <w:r>
              <w:rPr>
                <w:rFonts w:eastAsia="仿宋_GB2312"/>
                <w:kern w:val="0"/>
                <w:sz w:val="20"/>
                <w:szCs w:val="20"/>
              </w:rPr>
              <w:t>为民办实事和部门重点工程与重点工作考核分数折算。</w:t>
            </w:r>
            <w:r>
              <w:rPr>
                <w:rFonts w:eastAsia="仿宋_GB2312"/>
                <w:kern w:val="0"/>
                <w:sz w:val="20"/>
                <w:szCs w:val="20"/>
              </w:rPr>
              <w:br w:type="textWrapping"/>
            </w:r>
            <w:r>
              <w:rPr>
                <w:rFonts w:hint="eastAsia" w:eastAsia="仿宋_GB2312"/>
                <w:kern w:val="0"/>
                <w:sz w:val="20"/>
                <w:szCs w:val="20"/>
              </w:rPr>
              <w:t>重点工作</w:t>
            </w:r>
            <w:r>
              <w:rPr>
                <w:rFonts w:eastAsia="仿宋_GB2312"/>
                <w:kern w:val="0"/>
                <w:sz w:val="20"/>
                <w:szCs w:val="20"/>
              </w:rPr>
              <w:t>得分=（</w:t>
            </w:r>
            <w:r>
              <w:rPr>
                <w:rFonts w:hint="eastAsia" w:eastAsia="仿宋_GB2312"/>
                <w:kern w:val="0"/>
                <w:sz w:val="20"/>
                <w:szCs w:val="20"/>
              </w:rPr>
              <w:t>部门单位</w:t>
            </w:r>
            <w:r>
              <w:rPr>
                <w:rFonts w:eastAsia="仿宋_GB2312"/>
                <w:kern w:val="0"/>
                <w:sz w:val="20"/>
                <w:szCs w:val="20"/>
              </w:rPr>
              <w:t>绩效</w:t>
            </w:r>
            <w:r>
              <w:rPr>
                <w:rFonts w:hint="eastAsia" w:eastAsia="仿宋_GB2312"/>
                <w:kern w:val="0"/>
                <w:sz w:val="20"/>
                <w:szCs w:val="20"/>
              </w:rPr>
              <w:t>评估</w:t>
            </w:r>
            <w:r>
              <w:rPr>
                <w:rFonts w:eastAsia="仿宋_GB2312"/>
                <w:kern w:val="0"/>
                <w:sz w:val="20"/>
                <w:szCs w:val="20"/>
              </w:rPr>
              <w:t>对应部分考核得分</w:t>
            </w:r>
            <w:r>
              <w:rPr>
                <w:rFonts w:hint="eastAsia" w:eastAsia="仿宋_GB2312"/>
                <w:kern w:val="0"/>
                <w:sz w:val="20"/>
                <w:szCs w:val="20"/>
              </w:rPr>
              <w:t>占比</w:t>
            </w:r>
            <w:r>
              <w:rPr>
                <w:rFonts w:eastAsia="仿宋_GB2312"/>
                <w:kern w:val="0"/>
                <w:sz w:val="20"/>
                <w:szCs w:val="20"/>
              </w:rPr>
              <w:t>）*</w:t>
            </w:r>
            <w:r>
              <w:rPr>
                <w:rFonts w:hint="eastAsia" w:eastAsia="仿宋_GB2312"/>
                <w:kern w:val="0"/>
                <w:sz w:val="20"/>
                <w:szCs w:val="20"/>
              </w:rPr>
              <w:t>6</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　</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12</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履职 效益</w:t>
            </w:r>
          </w:p>
        </w:tc>
        <w:tc>
          <w:tcPr>
            <w:tcW w:w="51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00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经济效益</w:t>
            </w:r>
          </w:p>
        </w:tc>
        <w:tc>
          <w:tcPr>
            <w:tcW w:w="479"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184"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805" w:type="dxa"/>
            <w:tcBorders>
              <w:top w:val="nil"/>
              <w:left w:val="nil"/>
              <w:bottom w:val="nil"/>
              <w:right w:val="single" w:color="auto" w:sz="4" w:space="0"/>
            </w:tcBorders>
            <w:vAlign w:val="center"/>
          </w:tcPr>
          <w:p>
            <w:pPr>
              <w:widowControl/>
              <w:jc w:val="center"/>
              <w:rPr>
                <w:kern w:val="0"/>
                <w:sz w:val="24"/>
              </w:rPr>
            </w:pPr>
          </w:p>
          <w:p>
            <w:pPr>
              <w:widowControl/>
              <w:jc w:val="center"/>
              <w:rPr>
                <w:kern w:val="0"/>
                <w:sz w:val="24"/>
              </w:rPr>
            </w:pPr>
            <w:r>
              <w:rPr>
                <w:rFonts w:hint="eastAsia"/>
                <w:kern w:val="0"/>
                <w:sz w:val="24"/>
              </w:rPr>
              <w:t>10</w:t>
            </w:r>
          </w:p>
        </w:tc>
      </w:tr>
      <w:tr>
        <w:tblPrEx>
          <w:tblLayout w:type="fixed"/>
          <w:tblCellMar>
            <w:top w:w="0" w:type="dxa"/>
            <w:left w:w="108" w:type="dxa"/>
            <w:bottom w:w="0" w:type="dxa"/>
            <w:right w:w="108" w:type="dxa"/>
          </w:tblCellMar>
        </w:tblPrEx>
        <w:trPr>
          <w:trHeight w:val="529"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社会效益</w:t>
            </w:r>
          </w:p>
        </w:tc>
        <w:tc>
          <w:tcPr>
            <w:tcW w:w="479"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184"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805" w:type="dxa"/>
            <w:tcBorders>
              <w:top w:val="nil"/>
              <w:left w:val="nil"/>
              <w:bottom w:val="nil"/>
              <w:right w:val="single" w:color="auto" w:sz="4" w:space="0"/>
            </w:tcBorders>
            <w:vAlign w:val="center"/>
          </w:tcPr>
          <w:p>
            <w:pPr>
              <w:widowControl/>
              <w:rPr>
                <w:kern w:val="0"/>
                <w:sz w:val="24"/>
              </w:rPr>
            </w:pP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8</w:t>
            </w: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行政效能</w:t>
            </w:r>
          </w:p>
        </w:tc>
        <w:tc>
          <w:tcPr>
            <w:tcW w:w="47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4</w:t>
            </w:r>
          </w:p>
        </w:tc>
        <w:tc>
          <w:tcPr>
            <w:tcW w:w="286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促进部门改进文风会风，加强经费及资产管理，推动网上办事，提高行政效率，降低行政成本效果较好的计6分；一般3分；无效果或者效果不明显0分。</w:t>
            </w:r>
          </w:p>
        </w:tc>
        <w:tc>
          <w:tcPr>
            <w:tcW w:w="332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805"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int="eastAsia"/>
                <w:kern w:val="0"/>
                <w:sz w:val="24"/>
              </w:rPr>
              <w:t>4</w:t>
            </w:r>
          </w:p>
        </w:tc>
      </w:tr>
      <w:tr>
        <w:tblPrEx>
          <w:tblLayout w:type="fixed"/>
          <w:tblCellMar>
            <w:top w:w="0" w:type="dxa"/>
            <w:left w:w="108" w:type="dxa"/>
            <w:bottom w:w="0" w:type="dxa"/>
            <w:right w:w="108" w:type="dxa"/>
          </w:tblCellMar>
        </w:tblPrEx>
        <w:trPr>
          <w:trHeight w:val="136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0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4</w:t>
            </w:r>
          </w:p>
        </w:tc>
        <w:tc>
          <w:tcPr>
            <w:tcW w:w="286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90%（含）以上计6分；</w:t>
            </w:r>
            <w:r>
              <w:rPr>
                <w:rFonts w:eastAsia="仿宋_GB2312"/>
                <w:kern w:val="0"/>
                <w:sz w:val="20"/>
                <w:szCs w:val="20"/>
              </w:rPr>
              <w:br w:type="textWrapping"/>
            </w:r>
            <w:r>
              <w:rPr>
                <w:rFonts w:eastAsia="仿宋_GB2312"/>
                <w:kern w:val="0"/>
                <w:sz w:val="20"/>
                <w:szCs w:val="20"/>
              </w:rPr>
              <w:t>80%（含）-90%，计4分；</w:t>
            </w:r>
            <w:r>
              <w:rPr>
                <w:rFonts w:eastAsia="仿宋_GB2312"/>
                <w:kern w:val="0"/>
                <w:sz w:val="20"/>
                <w:szCs w:val="20"/>
              </w:rPr>
              <w:br w:type="textWrapping"/>
            </w:r>
            <w:r>
              <w:rPr>
                <w:rFonts w:eastAsia="仿宋_GB2312"/>
                <w:kern w:val="0"/>
                <w:sz w:val="20"/>
                <w:szCs w:val="20"/>
              </w:rPr>
              <w:t>70%（含）-80%，计2分；</w:t>
            </w:r>
            <w:r>
              <w:rPr>
                <w:rFonts w:eastAsia="仿宋_GB2312"/>
                <w:kern w:val="0"/>
                <w:sz w:val="20"/>
                <w:szCs w:val="20"/>
              </w:rPr>
              <w:br w:type="textWrapping"/>
            </w:r>
            <w:r>
              <w:rPr>
                <w:rFonts w:eastAsia="仿宋_GB2312"/>
                <w:kern w:val="0"/>
                <w:sz w:val="20"/>
                <w:szCs w:val="20"/>
              </w:rPr>
              <w:t>低于70%计0分。</w:t>
            </w:r>
          </w:p>
        </w:tc>
        <w:tc>
          <w:tcPr>
            <w:tcW w:w="332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805"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4</w:t>
            </w:r>
          </w:p>
        </w:tc>
      </w:tr>
    </w:tbl>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narrow">
    <w:altName w:val="Segoe Print"/>
    <w:panose1 w:val="00000000000000000000"/>
    <w:charset w:val="00"/>
    <w:family w:val="roman"/>
    <w:pitch w:val="default"/>
    <w:sig w:usb0="00000000" w:usb1="00000000" w:usb2="00000000" w:usb3="00000000" w:csb0="00000000" w:csb1="00000000"/>
  </w:font>
  <w:font w:name="华文楷体">
    <w:altName w:val="宋体"/>
    <w:panose1 w:val="00000000000000000000"/>
    <w:charset w:val="86"/>
    <w:family w:val="auto"/>
    <w:pitch w:val="default"/>
    <w:sig w:usb0="00000000" w:usb1="00000000" w:usb2="00000000" w:usb3="00000000" w:csb0="0004009F" w:csb1="DFD70000"/>
  </w:font>
  <w:font w:name="方正小标宋简体">
    <w:altName w:val="微软雅黑"/>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73BD"/>
    <w:rsid w:val="000415B7"/>
    <w:rsid w:val="000658A3"/>
    <w:rsid w:val="00074155"/>
    <w:rsid w:val="000A3F69"/>
    <w:rsid w:val="000D3806"/>
    <w:rsid w:val="000F4A2E"/>
    <w:rsid w:val="00152C6D"/>
    <w:rsid w:val="00162D39"/>
    <w:rsid w:val="001A67DB"/>
    <w:rsid w:val="001D51E5"/>
    <w:rsid w:val="001F0C3B"/>
    <w:rsid w:val="00214427"/>
    <w:rsid w:val="00265724"/>
    <w:rsid w:val="0027426B"/>
    <w:rsid w:val="002D7D1D"/>
    <w:rsid w:val="002E0F65"/>
    <w:rsid w:val="003479BD"/>
    <w:rsid w:val="003768D5"/>
    <w:rsid w:val="00414904"/>
    <w:rsid w:val="004506F9"/>
    <w:rsid w:val="004717A2"/>
    <w:rsid w:val="004765F1"/>
    <w:rsid w:val="004800D0"/>
    <w:rsid w:val="00491741"/>
    <w:rsid w:val="00500E5F"/>
    <w:rsid w:val="005122EF"/>
    <w:rsid w:val="005179F8"/>
    <w:rsid w:val="00517C33"/>
    <w:rsid w:val="00523644"/>
    <w:rsid w:val="0054069E"/>
    <w:rsid w:val="005767CC"/>
    <w:rsid w:val="00590D9F"/>
    <w:rsid w:val="00595D26"/>
    <w:rsid w:val="005A74E6"/>
    <w:rsid w:val="005D4D55"/>
    <w:rsid w:val="005E2CFB"/>
    <w:rsid w:val="0062378F"/>
    <w:rsid w:val="00651EEC"/>
    <w:rsid w:val="00673AE5"/>
    <w:rsid w:val="006A351B"/>
    <w:rsid w:val="006B0422"/>
    <w:rsid w:val="006B5574"/>
    <w:rsid w:val="006C1B53"/>
    <w:rsid w:val="006D7730"/>
    <w:rsid w:val="006E5284"/>
    <w:rsid w:val="006F3EB5"/>
    <w:rsid w:val="00702E34"/>
    <w:rsid w:val="00704395"/>
    <w:rsid w:val="00720FF1"/>
    <w:rsid w:val="007370C1"/>
    <w:rsid w:val="007D0AFD"/>
    <w:rsid w:val="00812605"/>
    <w:rsid w:val="00812ED5"/>
    <w:rsid w:val="00814070"/>
    <w:rsid w:val="008277D9"/>
    <w:rsid w:val="00843355"/>
    <w:rsid w:val="008A3E8D"/>
    <w:rsid w:val="008A5856"/>
    <w:rsid w:val="008D0DE5"/>
    <w:rsid w:val="008D51B8"/>
    <w:rsid w:val="009237C4"/>
    <w:rsid w:val="00950252"/>
    <w:rsid w:val="00967F5D"/>
    <w:rsid w:val="009A0F95"/>
    <w:rsid w:val="009B3ADF"/>
    <w:rsid w:val="009C3B52"/>
    <w:rsid w:val="009E2046"/>
    <w:rsid w:val="00A12814"/>
    <w:rsid w:val="00A42218"/>
    <w:rsid w:val="00A51FDC"/>
    <w:rsid w:val="00A70249"/>
    <w:rsid w:val="00AB784E"/>
    <w:rsid w:val="00AF46BA"/>
    <w:rsid w:val="00B33BEA"/>
    <w:rsid w:val="00B57C9F"/>
    <w:rsid w:val="00B845B3"/>
    <w:rsid w:val="00B85D8B"/>
    <w:rsid w:val="00BE3674"/>
    <w:rsid w:val="00C3049A"/>
    <w:rsid w:val="00C31B1E"/>
    <w:rsid w:val="00C77645"/>
    <w:rsid w:val="00CE04C3"/>
    <w:rsid w:val="00CE7568"/>
    <w:rsid w:val="00CE76A0"/>
    <w:rsid w:val="00D148C6"/>
    <w:rsid w:val="00D90CB1"/>
    <w:rsid w:val="00DD06FF"/>
    <w:rsid w:val="00DD5FE9"/>
    <w:rsid w:val="00DF0B1F"/>
    <w:rsid w:val="00E00C7A"/>
    <w:rsid w:val="00E55B68"/>
    <w:rsid w:val="00ED27F8"/>
    <w:rsid w:val="00F74360"/>
    <w:rsid w:val="00F858F9"/>
    <w:rsid w:val="00FB462F"/>
    <w:rsid w:val="00FC3C79"/>
    <w:rsid w:val="00FE16FA"/>
    <w:rsid w:val="00FE328A"/>
    <w:rsid w:val="04DC4089"/>
    <w:rsid w:val="7C7F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CB7B1-38CC-42D5-BFE5-F7F99DD5BC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2804</Words>
  <Characters>15988</Characters>
  <Lines>133</Lines>
  <Paragraphs>37</Paragraphs>
  <TotalTime>26</TotalTime>
  <ScaleCrop>false</ScaleCrop>
  <LinksUpToDate>false</LinksUpToDate>
  <CharactersWithSpaces>18755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2020-09-08T03:15:00Z</dcterms:created>
  <dc:creator>李航 null</dc:creator>
  <cp:lastModifiedBy>Administrator</cp:lastModifiedBy>
  <cp:lastPrinted>2020-09-08T03:35:00Z</cp:lastPrinted>
  <dcterms:modified xsi:type="dcterms:W3CDTF">2021-06-07T08:03:05Z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