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341B4E">
      <w:pPr>
        <w:numPr>
          <w:ilvl w:val="0"/>
          <w:numId w:val="0"/>
        </w:numPr>
        <w:jc w:val="both"/>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eastAsia="zh-CN"/>
        </w:rPr>
        <w:t>附件</w:t>
      </w:r>
    </w:p>
    <w:p w14:paraId="704047E7">
      <w:pPr>
        <w:numPr>
          <w:ilvl w:val="0"/>
          <w:numId w:val="0"/>
        </w:numPr>
        <w:jc w:val="center"/>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2025年市级科技计划赣南医科大学校地合作拟立项项目表</w:t>
      </w:r>
    </w:p>
    <w:p w14:paraId="2FA8FC09">
      <w:pPr>
        <w:numPr>
          <w:ilvl w:val="0"/>
          <w:numId w:val="0"/>
        </w:numPr>
        <w:jc w:val="center"/>
        <w:rPr>
          <w:rFonts w:hint="default"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eastAsia="zh-CN"/>
        </w:rPr>
        <w:t>一、</w:t>
      </w:r>
      <w:r>
        <w:rPr>
          <w:rFonts w:hint="eastAsia" w:ascii="楷体_GB2312" w:hAnsi="楷体_GB2312" w:eastAsia="楷体_GB2312" w:cs="楷体_GB2312"/>
          <w:b/>
          <w:bCs/>
          <w:sz w:val="32"/>
          <w:szCs w:val="32"/>
          <w:lang w:val="en-US" w:eastAsia="zh-CN"/>
        </w:rPr>
        <w:t>赣南医科大学</w:t>
      </w:r>
    </w:p>
    <w:tbl>
      <w:tblPr>
        <w:tblStyle w:val="3"/>
        <w:tblW w:w="43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2"/>
        <w:gridCol w:w="4539"/>
        <w:gridCol w:w="1767"/>
        <w:gridCol w:w="1388"/>
        <w:gridCol w:w="1132"/>
        <w:gridCol w:w="1271"/>
        <w:gridCol w:w="1280"/>
      </w:tblGrid>
      <w:tr w14:paraId="4F7F7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blHeader/>
          <w:jc w:val="center"/>
        </w:trPr>
        <w:tc>
          <w:tcPr>
            <w:tcW w:w="434" w:type="pct"/>
            <w:noWrap w:val="0"/>
            <w:vAlign w:val="center"/>
          </w:tcPr>
          <w:p w14:paraId="595EE400">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序号</w:t>
            </w:r>
          </w:p>
        </w:tc>
        <w:tc>
          <w:tcPr>
            <w:tcW w:w="1821" w:type="pct"/>
            <w:noWrap w:val="0"/>
            <w:vAlign w:val="center"/>
          </w:tcPr>
          <w:p w14:paraId="0EEC4F37">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黑体" w:hAnsi="黑体" w:eastAsia="黑体" w:cs="黑体"/>
                <w:b w:val="0"/>
                <w:bCs/>
                <w:sz w:val="24"/>
                <w:szCs w:val="24"/>
              </w:rPr>
            </w:pPr>
            <w:r>
              <w:rPr>
                <w:rFonts w:hint="eastAsia" w:ascii="黑体" w:hAnsi="黑体" w:eastAsia="黑体" w:cs="黑体"/>
                <w:b w:val="0"/>
                <w:bCs/>
                <w:sz w:val="24"/>
                <w:szCs w:val="24"/>
              </w:rPr>
              <w:t>项目名称</w:t>
            </w:r>
          </w:p>
        </w:tc>
        <w:tc>
          <w:tcPr>
            <w:tcW w:w="709" w:type="pct"/>
            <w:noWrap w:val="0"/>
            <w:vAlign w:val="center"/>
          </w:tcPr>
          <w:p w14:paraId="51229E04">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黑体" w:hAnsi="黑体" w:eastAsia="黑体" w:cs="黑体"/>
                <w:b w:val="0"/>
                <w:bCs/>
                <w:sz w:val="24"/>
                <w:szCs w:val="24"/>
                <w:lang w:eastAsia="zh-CN"/>
              </w:rPr>
            </w:pPr>
            <w:r>
              <w:rPr>
                <w:rFonts w:hint="eastAsia" w:ascii="黑体" w:hAnsi="黑体" w:eastAsia="黑体" w:cs="黑体"/>
                <w:b w:val="0"/>
                <w:bCs/>
                <w:sz w:val="24"/>
                <w:szCs w:val="24"/>
                <w:lang w:eastAsia="zh-CN"/>
              </w:rPr>
              <w:t>专项</w:t>
            </w:r>
          </w:p>
          <w:p w14:paraId="49D822A7">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黑体" w:hAnsi="黑体" w:eastAsia="黑体" w:cs="黑体"/>
                <w:b w:val="0"/>
                <w:bCs/>
                <w:sz w:val="24"/>
                <w:szCs w:val="24"/>
                <w:lang w:eastAsia="zh-CN"/>
              </w:rPr>
            </w:pPr>
            <w:r>
              <w:rPr>
                <w:rFonts w:hint="eastAsia" w:ascii="黑体" w:hAnsi="黑体" w:eastAsia="黑体" w:cs="黑体"/>
                <w:b w:val="0"/>
                <w:bCs/>
                <w:sz w:val="24"/>
                <w:szCs w:val="24"/>
                <w:lang w:eastAsia="zh-CN"/>
              </w:rPr>
              <w:t>类别</w:t>
            </w:r>
          </w:p>
        </w:tc>
        <w:tc>
          <w:tcPr>
            <w:tcW w:w="557" w:type="pct"/>
            <w:noWrap w:val="0"/>
            <w:vAlign w:val="center"/>
          </w:tcPr>
          <w:p w14:paraId="7F436395">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黑体" w:hAnsi="黑体" w:eastAsia="黑体" w:cs="黑体"/>
                <w:b w:val="0"/>
                <w:bCs/>
                <w:sz w:val="24"/>
                <w:szCs w:val="24"/>
              </w:rPr>
            </w:pPr>
            <w:r>
              <w:rPr>
                <w:rFonts w:hint="eastAsia" w:ascii="黑体" w:hAnsi="黑体" w:eastAsia="黑体" w:cs="黑体"/>
                <w:b w:val="0"/>
                <w:bCs/>
                <w:sz w:val="24"/>
                <w:szCs w:val="24"/>
              </w:rPr>
              <w:t>主管部门</w:t>
            </w:r>
          </w:p>
        </w:tc>
        <w:tc>
          <w:tcPr>
            <w:tcW w:w="454" w:type="pct"/>
            <w:noWrap w:val="0"/>
            <w:vAlign w:val="center"/>
          </w:tcPr>
          <w:p w14:paraId="5D6384C9">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项目</w:t>
            </w:r>
          </w:p>
          <w:p w14:paraId="7D08D2EC">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负责人</w:t>
            </w:r>
          </w:p>
        </w:tc>
        <w:tc>
          <w:tcPr>
            <w:tcW w:w="510" w:type="pct"/>
            <w:noWrap w:val="0"/>
            <w:vAlign w:val="center"/>
          </w:tcPr>
          <w:p w14:paraId="10309CC1">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项目经费</w:t>
            </w:r>
          </w:p>
          <w:p w14:paraId="687A3FE3">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w:t>
            </w:r>
            <w:r>
              <w:rPr>
                <w:rFonts w:hint="eastAsia" w:ascii="黑体" w:hAnsi="黑体" w:eastAsia="黑体" w:cs="黑体"/>
                <w:b w:val="0"/>
                <w:bCs/>
                <w:sz w:val="24"/>
                <w:szCs w:val="24"/>
              </w:rPr>
              <w:t>万元</w:t>
            </w:r>
            <w:r>
              <w:rPr>
                <w:rFonts w:hint="eastAsia" w:ascii="黑体" w:hAnsi="黑体" w:eastAsia="黑体" w:cs="黑体"/>
                <w:b w:val="0"/>
                <w:bCs/>
                <w:sz w:val="24"/>
                <w:szCs w:val="24"/>
                <w:lang w:val="en-US" w:eastAsia="zh-CN"/>
              </w:rPr>
              <w:t>）</w:t>
            </w:r>
          </w:p>
        </w:tc>
        <w:tc>
          <w:tcPr>
            <w:tcW w:w="513" w:type="pct"/>
            <w:noWrap w:val="0"/>
            <w:vAlign w:val="center"/>
          </w:tcPr>
          <w:p w14:paraId="7E6F73AC">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单位自筹</w:t>
            </w:r>
            <w:r>
              <w:rPr>
                <w:rFonts w:hint="eastAsia" w:ascii="黑体" w:hAnsi="黑体" w:eastAsia="黑体" w:cs="黑体"/>
                <w:b w:val="0"/>
                <w:bCs/>
                <w:sz w:val="22"/>
                <w:szCs w:val="22"/>
                <w:lang w:val="en-US" w:eastAsia="zh-CN"/>
              </w:rPr>
              <w:t>（万元</w:t>
            </w:r>
            <w:r>
              <w:rPr>
                <w:rFonts w:hint="eastAsia" w:ascii="黑体" w:hAnsi="黑体" w:eastAsia="黑体" w:cs="黑体"/>
                <w:b w:val="0"/>
                <w:bCs/>
                <w:sz w:val="24"/>
                <w:szCs w:val="24"/>
                <w:lang w:val="en-US" w:eastAsia="zh-CN"/>
              </w:rPr>
              <w:t>）</w:t>
            </w:r>
          </w:p>
        </w:tc>
      </w:tr>
      <w:tr w14:paraId="7C024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3" w:hRule="atLeast"/>
          <w:jc w:val="center"/>
        </w:trPr>
        <w:tc>
          <w:tcPr>
            <w:tcW w:w="434" w:type="pct"/>
            <w:noWrap w:val="0"/>
            <w:vAlign w:val="center"/>
          </w:tcPr>
          <w:p w14:paraId="5CCAA35E">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宋体" w:cs="宋体"/>
                <w:i w:val="0"/>
                <w:iCs w:val="0"/>
                <w:color w:val="000000"/>
                <w:kern w:val="0"/>
                <w:sz w:val="22"/>
                <w:szCs w:val="22"/>
                <w:u w:val="none"/>
                <w:lang w:val="en-US" w:eastAsia="zh-CN" w:bidi="ar"/>
              </w:rPr>
              <w:t>0001</w:t>
            </w:r>
          </w:p>
        </w:tc>
        <w:tc>
          <w:tcPr>
            <w:tcW w:w="1821" w:type="pct"/>
            <w:noWrap w:val="0"/>
            <w:vAlign w:val="center"/>
          </w:tcPr>
          <w:p w14:paraId="7932B66A">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大数据驱动的靶向恶性肿瘤等重大疾病的临床前治疗策略开发</w:t>
            </w:r>
          </w:p>
        </w:tc>
        <w:tc>
          <w:tcPr>
            <w:tcW w:w="709" w:type="pct"/>
            <w:noWrap w:val="0"/>
            <w:vAlign w:val="center"/>
          </w:tcPr>
          <w:p w14:paraId="476CABFE">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重点项目</w:t>
            </w:r>
          </w:p>
        </w:tc>
        <w:tc>
          <w:tcPr>
            <w:tcW w:w="557" w:type="pct"/>
            <w:noWrap w:val="0"/>
            <w:vAlign w:val="center"/>
          </w:tcPr>
          <w:p w14:paraId="4657C42F">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454" w:type="pct"/>
            <w:noWrap w:val="0"/>
            <w:vAlign w:val="center"/>
          </w:tcPr>
          <w:p w14:paraId="0736A92F">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张书永</w:t>
            </w:r>
          </w:p>
        </w:tc>
        <w:tc>
          <w:tcPr>
            <w:tcW w:w="510" w:type="pct"/>
            <w:noWrap w:val="0"/>
            <w:vAlign w:val="center"/>
          </w:tcPr>
          <w:p w14:paraId="716149A4">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30</w:t>
            </w:r>
          </w:p>
        </w:tc>
        <w:tc>
          <w:tcPr>
            <w:tcW w:w="513" w:type="pct"/>
            <w:noWrap w:val="0"/>
            <w:vAlign w:val="center"/>
          </w:tcPr>
          <w:p w14:paraId="176D6840">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30</w:t>
            </w:r>
          </w:p>
        </w:tc>
      </w:tr>
      <w:tr w14:paraId="5A04D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434" w:type="pct"/>
            <w:noWrap w:val="0"/>
            <w:vAlign w:val="center"/>
          </w:tcPr>
          <w:p w14:paraId="2ED2006F">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宋体" w:cs="宋体"/>
                <w:i w:val="0"/>
                <w:iCs w:val="0"/>
                <w:color w:val="000000"/>
                <w:kern w:val="0"/>
                <w:sz w:val="22"/>
                <w:szCs w:val="22"/>
                <w:u w:val="none"/>
                <w:lang w:val="en-US" w:eastAsia="zh-CN" w:bidi="ar"/>
              </w:rPr>
              <w:t>0002</w:t>
            </w:r>
          </w:p>
        </w:tc>
        <w:tc>
          <w:tcPr>
            <w:tcW w:w="1821" w:type="pct"/>
            <w:noWrap w:val="0"/>
            <w:vAlign w:val="center"/>
          </w:tcPr>
          <w:p w14:paraId="54D0EAE4">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基于生物制造的适配性骨/软骨一体化修复体系构建及其促组织再生机制研究</w:t>
            </w:r>
          </w:p>
        </w:tc>
        <w:tc>
          <w:tcPr>
            <w:tcW w:w="709" w:type="pct"/>
            <w:noWrap w:val="0"/>
            <w:vAlign w:val="center"/>
          </w:tcPr>
          <w:p w14:paraId="7B642802">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重点项目</w:t>
            </w:r>
          </w:p>
        </w:tc>
        <w:tc>
          <w:tcPr>
            <w:tcW w:w="557" w:type="pct"/>
            <w:noWrap w:val="0"/>
            <w:vAlign w:val="center"/>
          </w:tcPr>
          <w:p w14:paraId="11BF27C0">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454" w:type="pct"/>
            <w:noWrap w:val="0"/>
            <w:vAlign w:val="center"/>
          </w:tcPr>
          <w:p w14:paraId="2A24CAE9">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杨辉</w:t>
            </w:r>
          </w:p>
        </w:tc>
        <w:tc>
          <w:tcPr>
            <w:tcW w:w="510" w:type="pct"/>
            <w:noWrap w:val="0"/>
            <w:vAlign w:val="center"/>
          </w:tcPr>
          <w:p w14:paraId="7D2402AC">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30</w:t>
            </w:r>
          </w:p>
        </w:tc>
        <w:tc>
          <w:tcPr>
            <w:tcW w:w="513" w:type="pct"/>
            <w:noWrap w:val="0"/>
            <w:vAlign w:val="center"/>
          </w:tcPr>
          <w:p w14:paraId="3847CF73">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30</w:t>
            </w:r>
          </w:p>
        </w:tc>
      </w:tr>
      <w:tr w14:paraId="35BD5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atLeast"/>
          <w:jc w:val="center"/>
        </w:trPr>
        <w:tc>
          <w:tcPr>
            <w:tcW w:w="434" w:type="pct"/>
            <w:noWrap w:val="0"/>
            <w:vAlign w:val="center"/>
          </w:tcPr>
          <w:p w14:paraId="376A3ACA">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r>
              <w:rPr>
                <w:rFonts w:hint="eastAsia" w:ascii="宋体" w:hAnsi="宋体" w:cs="宋体"/>
                <w:i w:val="0"/>
                <w:iCs w:val="0"/>
                <w:color w:val="000000"/>
                <w:kern w:val="0"/>
                <w:sz w:val="22"/>
                <w:szCs w:val="22"/>
                <w:u w:val="none"/>
                <w:lang w:val="en-US" w:eastAsia="zh-CN" w:bidi="ar"/>
              </w:rPr>
              <w:t>3</w:t>
            </w:r>
          </w:p>
        </w:tc>
        <w:tc>
          <w:tcPr>
            <w:tcW w:w="1821" w:type="pct"/>
            <w:noWrap w:val="0"/>
            <w:vAlign w:val="center"/>
          </w:tcPr>
          <w:p w14:paraId="122053E3">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default" w:ascii="宋体" w:hAnsi="宋体" w:eastAsia="仿宋_GB2312" w:cs="仿宋_GB2312"/>
                <w:sz w:val="24"/>
                <w:szCs w:val="24"/>
                <w:lang w:val="en-US" w:eastAsia="zh-CN"/>
              </w:rPr>
              <w:t>染料木素磺酸钠通过GPR30抑制STAT3-Hepcidin信号减轻缺血缺氧诱导的新生鼠神经元铁死亡</w:t>
            </w:r>
          </w:p>
        </w:tc>
        <w:tc>
          <w:tcPr>
            <w:tcW w:w="709" w:type="pct"/>
            <w:noWrap w:val="0"/>
            <w:vAlign w:val="center"/>
          </w:tcPr>
          <w:p w14:paraId="25F4ADA9">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重点项目</w:t>
            </w:r>
          </w:p>
        </w:tc>
        <w:tc>
          <w:tcPr>
            <w:tcW w:w="557" w:type="pct"/>
            <w:noWrap w:val="0"/>
            <w:vAlign w:val="center"/>
          </w:tcPr>
          <w:p w14:paraId="30724EA8">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454" w:type="pct"/>
            <w:noWrap w:val="0"/>
            <w:vAlign w:val="center"/>
          </w:tcPr>
          <w:p w14:paraId="22E59982">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default" w:ascii="宋体" w:hAnsi="宋体" w:eastAsia="仿宋_GB2312" w:cs="仿宋_GB2312"/>
                <w:sz w:val="24"/>
                <w:szCs w:val="24"/>
                <w:lang w:val="en-US" w:eastAsia="zh-CN"/>
              </w:rPr>
              <w:t>黄志华</w:t>
            </w:r>
          </w:p>
        </w:tc>
        <w:tc>
          <w:tcPr>
            <w:tcW w:w="510" w:type="pct"/>
            <w:noWrap w:val="0"/>
            <w:vAlign w:val="center"/>
          </w:tcPr>
          <w:p w14:paraId="4F83DA6E">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30</w:t>
            </w:r>
          </w:p>
        </w:tc>
        <w:tc>
          <w:tcPr>
            <w:tcW w:w="513" w:type="pct"/>
            <w:noWrap w:val="0"/>
            <w:vAlign w:val="center"/>
          </w:tcPr>
          <w:p w14:paraId="2558E4F4">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30</w:t>
            </w:r>
          </w:p>
        </w:tc>
      </w:tr>
      <w:tr w14:paraId="1B244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89" w:hRule="atLeast"/>
          <w:jc w:val="center"/>
        </w:trPr>
        <w:tc>
          <w:tcPr>
            <w:tcW w:w="434" w:type="pct"/>
            <w:noWrap w:val="0"/>
            <w:vAlign w:val="center"/>
          </w:tcPr>
          <w:p w14:paraId="6BB6141D">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宋体" w:cs="宋体"/>
                <w:i w:val="0"/>
                <w:iCs w:val="0"/>
                <w:color w:val="000000"/>
                <w:kern w:val="0"/>
                <w:sz w:val="22"/>
                <w:szCs w:val="22"/>
                <w:u w:val="none"/>
                <w:lang w:val="en-US" w:eastAsia="zh-CN" w:bidi="ar"/>
              </w:rPr>
              <w:t>000</w:t>
            </w:r>
            <w:r>
              <w:rPr>
                <w:rFonts w:hint="eastAsia" w:ascii="宋体" w:hAnsi="宋体" w:cs="宋体"/>
                <w:i w:val="0"/>
                <w:iCs w:val="0"/>
                <w:color w:val="000000"/>
                <w:kern w:val="0"/>
                <w:sz w:val="22"/>
                <w:szCs w:val="22"/>
                <w:u w:val="none"/>
                <w:lang w:val="en-US" w:eastAsia="zh-CN" w:bidi="ar"/>
              </w:rPr>
              <w:t>4</w:t>
            </w:r>
          </w:p>
        </w:tc>
        <w:tc>
          <w:tcPr>
            <w:tcW w:w="1821" w:type="pct"/>
            <w:noWrap w:val="0"/>
            <w:vAlign w:val="center"/>
          </w:tcPr>
          <w:p w14:paraId="536441B1">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中药苦木及其组分治疗临床多重耐药性大肠杆菌感染的协同策略研究</w:t>
            </w:r>
          </w:p>
        </w:tc>
        <w:tc>
          <w:tcPr>
            <w:tcW w:w="709" w:type="pct"/>
            <w:noWrap w:val="0"/>
            <w:vAlign w:val="center"/>
          </w:tcPr>
          <w:p w14:paraId="08EA72E1">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重点项目</w:t>
            </w:r>
          </w:p>
        </w:tc>
        <w:tc>
          <w:tcPr>
            <w:tcW w:w="557" w:type="pct"/>
            <w:noWrap w:val="0"/>
            <w:vAlign w:val="center"/>
          </w:tcPr>
          <w:p w14:paraId="25731A0B">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454" w:type="pct"/>
            <w:noWrap w:val="0"/>
            <w:vAlign w:val="center"/>
          </w:tcPr>
          <w:p w14:paraId="153EAC9A">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胡海波</w:t>
            </w:r>
          </w:p>
        </w:tc>
        <w:tc>
          <w:tcPr>
            <w:tcW w:w="510" w:type="pct"/>
            <w:noWrap w:val="0"/>
            <w:vAlign w:val="center"/>
          </w:tcPr>
          <w:p w14:paraId="7E0904DC">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30</w:t>
            </w:r>
          </w:p>
        </w:tc>
        <w:tc>
          <w:tcPr>
            <w:tcW w:w="513" w:type="pct"/>
            <w:noWrap w:val="0"/>
            <w:vAlign w:val="center"/>
          </w:tcPr>
          <w:p w14:paraId="0D5D16DC">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30</w:t>
            </w:r>
          </w:p>
        </w:tc>
      </w:tr>
      <w:tr w14:paraId="2C8BE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9" w:hRule="atLeast"/>
          <w:jc w:val="center"/>
        </w:trPr>
        <w:tc>
          <w:tcPr>
            <w:tcW w:w="434" w:type="pct"/>
            <w:noWrap w:val="0"/>
            <w:vAlign w:val="center"/>
          </w:tcPr>
          <w:p w14:paraId="010B4AEB">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宋体" w:cs="宋体"/>
                <w:i w:val="0"/>
                <w:iCs w:val="0"/>
                <w:color w:val="000000"/>
                <w:kern w:val="0"/>
                <w:sz w:val="22"/>
                <w:szCs w:val="22"/>
                <w:u w:val="none"/>
                <w:lang w:val="en-US" w:eastAsia="zh-CN" w:bidi="ar"/>
              </w:rPr>
              <w:t>000</w:t>
            </w:r>
            <w:r>
              <w:rPr>
                <w:rFonts w:hint="eastAsia" w:ascii="宋体" w:hAnsi="宋体" w:cs="宋体"/>
                <w:i w:val="0"/>
                <w:iCs w:val="0"/>
                <w:color w:val="000000"/>
                <w:kern w:val="0"/>
                <w:sz w:val="22"/>
                <w:szCs w:val="22"/>
                <w:u w:val="none"/>
                <w:lang w:val="en-US" w:eastAsia="zh-CN" w:bidi="ar"/>
              </w:rPr>
              <w:t>5</w:t>
            </w:r>
          </w:p>
        </w:tc>
        <w:tc>
          <w:tcPr>
            <w:tcW w:w="1821" w:type="pct"/>
            <w:noWrap w:val="0"/>
            <w:vAlign w:val="center"/>
          </w:tcPr>
          <w:p w14:paraId="6B7DDC9C">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基于氮化镓半导体的基无源神经调控器件开发及其在神经损伤修复中的应用研究</w:t>
            </w:r>
          </w:p>
        </w:tc>
        <w:tc>
          <w:tcPr>
            <w:tcW w:w="709" w:type="pct"/>
            <w:noWrap w:val="0"/>
            <w:vAlign w:val="center"/>
          </w:tcPr>
          <w:p w14:paraId="29E6CB64">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重点项目</w:t>
            </w:r>
          </w:p>
        </w:tc>
        <w:tc>
          <w:tcPr>
            <w:tcW w:w="557" w:type="pct"/>
            <w:noWrap w:val="0"/>
            <w:vAlign w:val="center"/>
          </w:tcPr>
          <w:p w14:paraId="52DE5285">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454" w:type="pct"/>
            <w:noWrap w:val="0"/>
            <w:vAlign w:val="center"/>
          </w:tcPr>
          <w:p w14:paraId="6D5EE27E">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钟海舰</w:t>
            </w:r>
          </w:p>
        </w:tc>
        <w:tc>
          <w:tcPr>
            <w:tcW w:w="510" w:type="pct"/>
            <w:noWrap w:val="0"/>
            <w:vAlign w:val="center"/>
          </w:tcPr>
          <w:p w14:paraId="20FFB01F">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30</w:t>
            </w:r>
          </w:p>
        </w:tc>
        <w:tc>
          <w:tcPr>
            <w:tcW w:w="513" w:type="pct"/>
            <w:noWrap w:val="0"/>
            <w:vAlign w:val="center"/>
          </w:tcPr>
          <w:p w14:paraId="0D97E3E1">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30</w:t>
            </w:r>
          </w:p>
        </w:tc>
      </w:tr>
      <w:tr w14:paraId="6B54E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434" w:type="pct"/>
            <w:noWrap w:val="0"/>
            <w:vAlign w:val="center"/>
          </w:tcPr>
          <w:p w14:paraId="74CD7D7F">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宋体" w:cs="宋体"/>
                <w:i w:val="0"/>
                <w:iCs w:val="0"/>
                <w:color w:val="000000"/>
                <w:kern w:val="0"/>
                <w:sz w:val="22"/>
                <w:szCs w:val="22"/>
                <w:u w:val="none"/>
                <w:lang w:val="en-US" w:eastAsia="zh-CN" w:bidi="ar"/>
              </w:rPr>
              <w:t>000</w:t>
            </w:r>
            <w:r>
              <w:rPr>
                <w:rFonts w:hint="eastAsia" w:ascii="宋体" w:hAnsi="宋体" w:cs="宋体"/>
                <w:i w:val="0"/>
                <w:iCs w:val="0"/>
                <w:color w:val="000000"/>
                <w:kern w:val="0"/>
                <w:sz w:val="22"/>
                <w:szCs w:val="22"/>
                <w:u w:val="none"/>
                <w:lang w:val="en-US" w:eastAsia="zh-CN" w:bidi="ar"/>
              </w:rPr>
              <w:t>6</w:t>
            </w:r>
          </w:p>
        </w:tc>
        <w:tc>
          <w:tcPr>
            <w:tcW w:w="1821" w:type="pct"/>
            <w:noWrap w:val="0"/>
            <w:vAlign w:val="center"/>
          </w:tcPr>
          <w:p w14:paraId="127A296F">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氟尿嘧啶修饰的核仁素适配体-LDHA抑制剂偶合物的设计及其对氟尿嘧啶耐药结直肠癌的作用研究</w:t>
            </w:r>
          </w:p>
        </w:tc>
        <w:tc>
          <w:tcPr>
            <w:tcW w:w="709" w:type="pct"/>
            <w:noWrap w:val="0"/>
            <w:vAlign w:val="center"/>
          </w:tcPr>
          <w:p w14:paraId="74521FCE">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重点项目</w:t>
            </w:r>
          </w:p>
        </w:tc>
        <w:tc>
          <w:tcPr>
            <w:tcW w:w="557" w:type="pct"/>
            <w:noWrap w:val="0"/>
            <w:vAlign w:val="center"/>
          </w:tcPr>
          <w:p w14:paraId="64FBA07D">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454" w:type="pct"/>
            <w:noWrap w:val="0"/>
            <w:vAlign w:val="center"/>
          </w:tcPr>
          <w:p w14:paraId="088632E4">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江峰</w:t>
            </w:r>
          </w:p>
        </w:tc>
        <w:tc>
          <w:tcPr>
            <w:tcW w:w="510" w:type="pct"/>
            <w:noWrap w:val="0"/>
            <w:vAlign w:val="center"/>
          </w:tcPr>
          <w:p w14:paraId="4774097A">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30</w:t>
            </w:r>
          </w:p>
        </w:tc>
        <w:tc>
          <w:tcPr>
            <w:tcW w:w="513" w:type="pct"/>
            <w:noWrap w:val="0"/>
            <w:vAlign w:val="center"/>
          </w:tcPr>
          <w:p w14:paraId="10098114">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30</w:t>
            </w:r>
          </w:p>
        </w:tc>
      </w:tr>
      <w:tr w14:paraId="115C6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atLeast"/>
          <w:jc w:val="center"/>
        </w:trPr>
        <w:tc>
          <w:tcPr>
            <w:tcW w:w="434" w:type="pct"/>
            <w:noWrap w:val="0"/>
            <w:vAlign w:val="center"/>
          </w:tcPr>
          <w:p w14:paraId="651B23BC">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宋体" w:cs="宋体"/>
                <w:i w:val="0"/>
                <w:iCs w:val="0"/>
                <w:color w:val="000000"/>
                <w:kern w:val="0"/>
                <w:sz w:val="22"/>
                <w:szCs w:val="22"/>
                <w:u w:val="none"/>
                <w:lang w:val="en-US" w:eastAsia="zh-CN" w:bidi="ar"/>
              </w:rPr>
              <w:t>000</w:t>
            </w:r>
            <w:r>
              <w:rPr>
                <w:rFonts w:hint="eastAsia" w:ascii="宋体" w:hAnsi="宋体" w:cs="宋体"/>
                <w:i w:val="0"/>
                <w:iCs w:val="0"/>
                <w:color w:val="000000"/>
                <w:kern w:val="0"/>
                <w:sz w:val="22"/>
                <w:szCs w:val="22"/>
                <w:u w:val="none"/>
                <w:lang w:val="en-US" w:eastAsia="zh-CN" w:bidi="ar"/>
              </w:rPr>
              <w:t>7</w:t>
            </w:r>
          </w:p>
        </w:tc>
        <w:tc>
          <w:tcPr>
            <w:tcW w:w="1821" w:type="pct"/>
            <w:noWrap w:val="0"/>
            <w:vAlign w:val="center"/>
          </w:tcPr>
          <w:p w14:paraId="6841830C">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基于多组学技术的乳腺癌转移液体活检标志物鉴定与临床价值评估</w:t>
            </w:r>
          </w:p>
        </w:tc>
        <w:tc>
          <w:tcPr>
            <w:tcW w:w="709" w:type="pct"/>
            <w:noWrap w:val="0"/>
            <w:vAlign w:val="center"/>
          </w:tcPr>
          <w:p w14:paraId="027A3529">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重点项目</w:t>
            </w:r>
          </w:p>
        </w:tc>
        <w:tc>
          <w:tcPr>
            <w:tcW w:w="557" w:type="pct"/>
            <w:noWrap w:val="0"/>
            <w:vAlign w:val="center"/>
          </w:tcPr>
          <w:p w14:paraId="5C327969">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454" w:type="pct"/>
            <w:noWrap w:val="0"/>
            <w:vAlign w:val="center"/>
          </w:tcPr>
          <w:p w14:paraId="45579451">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万绍贵</w:t>
            </w:r>
          </w:p>
        </w:tc>
        <w:tc>
          <w:tcPr>
            <w:tcW w:w="510" w:type="pct"/>
            <w:noWrap w:val="0"/>
            <w:vAlign w:val="center"/>
          </w:tcPr>
          <w:p w14:paraId="36585283">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30</w:t>
            </w:r>
          </w:p>
        </w:tc>
        <w:tc>
          <w:tcPr>
            <w:tcW w:w="513" w:type="pct"/>
            <w:noWrap w:val="0"/>
            <w:vAlign w:val="center"/>
          </w:tcPr>
          <w:p w14:paraId="60A4503D">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30</w:t>
            </w:r>
          </w:p>
        </w:tc>
      </w:tr>
      <w:tr w14:paraId="38110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atLeast"/>
          <w:jc w:val="center"/>
        </w:trPr>
        <w:tc>
          <w:tcPr>
            <w:tcW w:w="434" w:type="pct"/>
            <w:noWrap w:val="0"/>
            <w:vAlign w:val="center"/>
          </w:tcPr>
          <w:p w14:paraId="696D433C">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宋体" w:cs="宋体"/>
                <w:i w:val="0"/>
                <w:iCs w:val="0"/>
                <w:color w:val="000000"/>
                <w:kern w:val="0"/>
                <w:sz w:val="22"/>
                <w:szCs w:val="22"/>
                <w:u w:val="none"/>
                <w:lang w:val="en-US" w:eastAsia="zh-CN" w:bidi="ar"/>
              </w:rPr>
              <w:t>000</w:t>
            </w:r>
            <w:r>
              <w:rPr>
                <w:rFonts w:hint="eastAsia" w:ascii="宋体" w:hAnsi="宋体" w:cs="宋体"/>
                <w:i w:val="0"/>
                <w:iCs w:val="0"/>
                <w:color w:val="000000"/>
                <w:kern w:val="0"/>
                <w:sz w:val="22"/>
                <w:szCs w:val="22"/>
                <w:u w:val="none"/>
                <w:lang w:val="en-US" w:eastAsia="zh-CN" w:bidi="ar"/>
              </w:rPr>
              <w:t>8</w:t>
            </w:r>
          </w:p>
        </w:tc>
        <w:tc>
          <w:tcPr>
            <w:tcW w:w="1821" w:type="pct"/>
            <w:noWrap w:val="0"/>
            <w:vAlign w:val="center"/>
          </w:tcPr>
          <w:p w14:paraId="45C29FCB">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膳食纤维干预赣南地区原发性高血压肠道菌群关联的前瞻性研究</w:t>
            </w:r>
          </w:p>
        </w:tc>
        <w:tc>
          <w:tcPr>
            <w:tcW w:w="709" w:type="pct"/>
            <w:noWrap w:val="0"/>
            <w:vAlign w:val="center"/>
          </w:tcPr>
          <w:p w14:paraId="4E355FB5">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重点项目</w:t>
            </w:r>
          </w:p>
        </w:tc>
        <w:tc>
          <w:tcPr>
            <w:tcW w:w="557" w:type="pct"/>
            <w:noWrap w:val="0"/>
            <w:vAlign w:val="center"/>
          </w:tcPr>
          <w:p w14:paraId="5C10C299">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454" w:type="pct"/>
            <w:noWrap w:val="0"/>
            <w:vAlign w:val="center"/>
          </w:tcPr>
          <w:p w14:paraId="68DC0102">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罗晓婷</w:t>
            </w:r>
          </w:p>
        </w:tc>
        <w:tc>
          <w:tcPr>
            <w:tcW w:w="510" w:type="pct"/>
            <w:noWrap w:val="0"/>
            <w:vAlign w:val="center"/>
          </w:tcPr>
          <w:p w14:paraId="29A174B1">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30</w:t>
            </w:r>
          </w:p>
        </w:tc>
        <w:tc>
          <w:tcPr>
            <w:tcW w:w="513" w:type="pct"/>
            <w:noWrap w:val="0"/>
            <w:vAlign w:val="center"/>
          </w:tcPr>
          <w:p w14:paraId="20C852EF">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30</w:t>
            </w:r>
          </w:p>
        </w:tc>
      </w:tr>
      <w:tr w14:paraId="27D2C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atLeast"/>
          <w:jc w:val="center"/>
        </w:trPr>
        <w:tc>
          <w:tcPr>
            <w:tcW w:w="434" w:type="pct"/>
            <w:noWrap w:val="0"/>
            <w:vAlign w:val="center"/>
          </w:tcPr>
          <w:p w14:paraId="674715EA">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宋体" w:cs="宋体"/>
                <w:i w:val="0"/>
                <w:iCs w:val="0"/>
                <w:color w:val="000000"/>
                <w:kern w:val="0"/>
                <w:sz w:val="22"/>
                <w:szCs w:val="22"/>
                <w:u w:val="none"/>
                <w:lang w:val="en-US" w:eastAsia="zh-CN" w:bidi="ar"/>
              </w:rPr>
              <w:t>000</w:t>
            </w:r>
            <w:r>
              <w:rPr>
                <w:rFonts w:hint="eastAsia" w:ascii="宋体" w:hAnsi="宋体" w:cs="宋体"/>
                <w:i w:val="0"/>
                <w:iCs w:val="0"/>
                <w:color w:val="000000"/>
                <w:kern w:val="0"/>
                <w:sz w:val="22"/>
                <w:szCs w:val="22"/>
                <w:u w:val="none"/>
                <w:lang w:val="en-US" w:eastAsia="zh-CN" w:bidi="ar"/>
              </w:rPr>
              <w:t>9</w:t>
            </w:r>
          </w:p>
        </w:tc>
        <w:tc>
          <w:tcPr>
            <w:tcW w:w="1821" w:type="pct"/>
            <w:noWrap w:val="0"/>
            <w:vAlign w:val="center"/>
          </w:tcPr>
          <w:p w14:paraId="6DAD6D69">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CDK12-超级增强子-PTPRC 轴驱动视网膜母细胞瘤转移的分子机制研究</w:t>
            </w:r>
          </w:p>
        </w:tc>
        <w:tc>
          <w:tcPr>
            <w:tcW w:w="709" w:type="pct"/>
            <w:noWrap w:val="0"/>
            <w:vAlign w:val="center"/>
          </w:tcPr>
          <w:p w14:paraId="37DDBD51">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重点项目</w:t>
            </w:r>
          </w:p>
        </w:tc>
        <w:tc>
          <w:tcPr>
            <w:tcW w:w="557" w:type="pct"/>
            <w:noWrap w:val="0"/>
            <w:vAlign w:val="center"/>
          </w:tcPr>
          <w:p w14:paraId="5898EF6D">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454" w:type="pct"/>
            <w:noWrap w:val="0"/>
            <w:vAlign w:val="center"/>
          </w:tcPr>
          <w:p w14:paraId="699EA8D2">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刘圣兰</w:t>
            </w:r>
          </w:p>
        </w:tc>
        <w:tc>
          <w:tcPr>
            <w:tcW w:w="510" w:type="pct"/>
            <w:noWrap w:val="0"/>
            <w:vAlign w:val="center"/>
          </w:tcPr>
          <w:p w14:paraId="51F614EF">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30</w:t>
            </w:r>
          </w:p>
        </w:tc>
        <w:tc>
          <w:tcPr>
            <w:tcW w:w="513" w:type="pct"/>
            <w:noWrap w:val="0"/>
            <w:vAlign w:val="center"/>
          </w:tcPr>
          <w:p w14:paraId="696079F8">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30</w:t>
            </w:r>
          </w:p>
        </w:tc>
      </w:tr>
      <w:tr w14:paraId="4C236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atLeast"/>
          <w:jc w:val="center"/>
        </w:trPr>
        <w:tc>
          <w:tcPr>
            <w:tcW w:w="434" w:type="pct"/>
            <w:noWrap w:val="0"/>
            <w:vAlign w:val="center"/>
          </w:tcPr>
          <w:p w14:paraId="0054B9C4">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宋体" w:cs="宋体"/>
                <w:i w:val="0"/>
                <w:iCs w:val="0"/>
                <w:color w:val="000000"/>
                <w:kern w:val="0"/>
                <w:sz w:val="22"/>
                <w:szCs w:val="22"/>
                <w:u w:val="none"/>
                <w:lang w:val="en-US" w:eastAsia="zh-CN" w:bidi="ar"/>
              </w:rPr>
              <w:t>001</w:t>
            </w:r>
            <w:r>
              <w:rPr>
                <w:rFonts w:hint="eastAsia" w:ascii="宋体" w:hAnsi="宋体" w:cs="宋体"/>
                <w:i w:val="0"/>
                <w:iCs w:val="0"/>
                <w:color w:val="000000"/>
                <w:kern w:val="0"/>
                <w:sz w:val="22"/>
                <w:szCs w:val="22"/>
                <w:u w:val="none"/>
                <w:lang w:val="en-US" w:eastAsia="zh-CN" w:bidi="ar"/>
              </w:rPr>
              <w:t>0</w:t>
            </w:r>
          </w:p>
        </w:tc>
        <w:tc>
          <w:tcPr>
            <w:tcW w:w="1821" w:type="pct"/>
            <w:noWrap w:val="0"/>
            <w:vAlign w:val="center"/>
          </w:tcPr>
          <w:p w14:paraId="42501D81">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基于合成致死机制的DNA-PK/铂（IV）双功能分子的设计、合成及用于BRCA突变的乳腺癌治疗</w:t>
            </w:r>
          </w:p>
        </w:tc>
        <w:tc>
          <w:tcPr>
            <w:tcW w:w="709" w:type="pct"/>
            <w:noWrap w:val="0"/>
            <w:vAlign w:val="center"/>
          </w:tcPr>
          <w:p w14:paraId="6FBCE9AD">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一般项目</w:t>
            </w:r>
          </w:p>
        </w:tc>
        <w:tc>
          <w:tcPr>
            <w:tcW w:w="557" w:type="pct"/>
            <w:noWrap w:val="0"/>
            <w:vAlign w:val="center"/>
          </w:tcPr>
          <w:p w14:paraId="422156A9">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454" w:type="pct"/>
            <w:noWrap w:val="0"/>
            <w:vAlign w:val="center"/>
          </w:tcPr>
          <w:p w14:paraId="35E2F2ED">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彭孝鹏</w:t>
            </w:r>
          </w:p>
        </w:tc>
        <w:tc>
          <w:tcPr>
            <w:tcW w:w="510" w:type="pct"/>
            <w:noWrap w:val="0"/>
            <w:vAlign w:val="center"/>
          </w:tcPr>
          <w:p w14:paraId="7737B0B6">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513" w:type="pct"/>
            <w:noWrap w:val="0"/>
            <w:vAlign w:val="center"/>
          </w:tcPr>
          <w:p w14:paraId="0D820316">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70DD0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atLeast"/>
          <w:jc w:val="center"/>
        </w:trPr>
        <w:tc>
          <w:tcPr>
            <w:tcW w:w="434" w:type="pct"/>
            <w:noWrap w:val="0"/>
            <w:vAlign w:val="center"/>
          </w:tcPr>
          <w:p w14:paraId="7DA4BA46">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宋体" w:cs="宋体"/>
                <w:i w:val="0"/>
                <w:iCs w:val="0"/>
                <w:color w:val="000000"/>
                <w:kern w:val="0"/>
                <w:sz w:val="22"/>
                <w:szCs w:val="22"/>
                <w:u w:val="none"/>
                <w:lang w:val="en-US" w:eastAsia="zh-CN" w:bidi="ar"/>
              </w:rPr>
              <w:t>001</w:t>
            </w:r>
            <w:r>
              <w:rPr>
                <w:rFonts w:hint="eastAsia" w:ascii="宋体" w:hAnsi="宋体" w:cs="宋体"/>
                <w:i w:val="0"/>
                <w:iCs w:val="0"/>
                <w:color w:val="000000"/>
                <w:kern w:val="0"/>
                <w:sz w:val="22"/>
                <w:szCs w:val="22"/>
                <w:u w:val="none"/>
                <w:lang w:val="en-US" w:eastAsia="zh-CN" w:bidi="ar"/>
              </w:rPr>
              <w:t>1</w:t>
            </w:r>
          </w:p>
        </w:tc>
        <w:tc>
          <w:tcPr>
            <w:tcW w:w="1821" w:type="pct"/>
            <w:noWrap w:val="0"/>
            <w:vAlign w:val="center"/>
          </w:tcPr>
          <w:p w14:paraId="5845C34C">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赣南稀土矿区重金属复合暴露对胎儿发育影响的巢式病例对照研究</w:t>
            </w:r>
          </w:p>
        </w:tc>
        <w:tc>
          <w:tcPr>
            <w:tcW w:w="709" w:type="pct"/>
            <w:noWrap w:val="0"/>
            <w:vAlign w:val="center"/>
          </w:tcPr>
          <w:p w14:paraId="4D05AFFB">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一般项目</w:t>
            </w:r>
          </w:p>
        </w:tc>
        <w:tc>
          <w:tcPr>
            <w:tcW w:w="557" w:type="pct"/>
            <w:noWrap w:val="0"/>
            <w:vAlign w:val="center"/>
          </w:tcPr>
          <w:p w14:paraId="1BE116D2">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454" w:type="pct"/>
            <w:noWrap w:val="0"/>
            <w:vAlign w:val="center"/>
          </w:tcPr>
          <w:p w14:paraId="00F25F6E">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罗江洪</w:t>
            </w:r>
          </w:p>
        </w:tc>
        <w:tc>
          <w:tcPr>
            <w:tcW w:w="510" w:type="pct"/>
            <w:noWrap w:val="0"/>
            <w:vAlign w:val="center"/>
          </w:tcPr>
          <w:p w14:paraId="512280E6">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513" w:type="pct"/>
            <w:noWrap w:val="0"/>
            <w:vAlign w:val="center"/>
          </w:tcPr>
          <w:p w14:paraId="3EA0D640">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06C72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5" w:hRule="atLeast"/>
          <w:jc w:val="center"/>
        </w:trPr>
        <w:tc>
          <w:tcPr>
            <w:tcW w:w="434" w:type="pct"/>
            <w:noWrap w:val="0"/>
            <w:vAlign w:val="center"/>
          </w:tcPr>
          <w:p w14:paraId="76A5FC67">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宋体" w:cs="宋体"/>
                <w:i w:val="0"/>
                <w:iCs w:val="0"/>
                <w:color w:val="000000"/>
                <w:kern w:val="0"/>
                <w:sz w:val="22"/>
                <w:szCs w:val="22"/>
                <w:u w:val="none"/>
                <w:lang w:val="en-US" w:eastAsia="zh-CN" w:bidi="ar"/>
              </w:rPr>
              <w:t>001</w:t>
            </w:r>
            <w:r>
              <w:rPr>
                <w:rFonts w:hint="eastAsia" w:ascii="宋体" w:hAnsi="宋体" w:cs="宋体"/>
                <w:i w:val="0"/>
                <w:iCs w:val="0"/>
                <w:color w:val="000000"/>
                <w:kern w:val="0"/>
                <w:sz w:val="22"/>
                <w:szCs w:val="22"/>
                <w:u w:val="none"/>
                <w:lang w:val="en-US" w:eastAsia="zh-CN" w:bidi="ar"/>
              </w:rPr>
              <w:t>2</w:t>
            </w:r>
          </w:p>
        </w:tc>
        <w:tc>
          <w:tcPr>
            <w:tcW w:w="1821" w:type="pct"/>
            <w:noWrap w:val="0"/>
            <w:vAlign w:val="center"/>
          </w:tcPr>
          <w:p w14:paraId="4D54A82C">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紫草素衍生物抗肿瘤干细胞的机理研究及新药筛选模型构建</w:t>
            </w:r>
          </w:p>
        </w:tc>
        <w:tc>
          <w:tcPr>
            <w:tcW w:w="709" w:type="pct"/>
            <w:noWrap w:val="0"/>
            <w:vAlign w:val="center"/>
          </w:tcPr>
          <w:p w14:paraId="73FA4577">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kern w:val="2"/>
                <w:sz w:val="24"/>
                <w:szCs w:val="24"/>
                <w:lang w:val="en-US" w:eastAsia="zh-CN" w:bidi="ar-SA"/>
              </w:rPr>
            </w:pPr>
            <w:r>
              <w:rPr>
                <w:rFonts w:hint="eastAsia" w:ascii="宋体" w:hAnsi="宋体" w:eastAsia="仿宋_GB2312" w:cs="仿宋_GB2312"/>
                <w:sz w:val="24"/>
                <w:szCs w:val="24"/>
                <w:lang w:val="en-US" w:eastAsia="zh-CN"/>
              </w:rPr>
              <w:t>一般项目</w:t>
            </w:r>
          </w:p>
        </w:tc>
        <w:tc>
          <w:tcPr>
            <w:tcW w:w="557" w:type="pct"/>
            <w:noWrap w:val="0"/>
            <w:vAlign w:val="center"/>
          </w:tcPr>
          <w:p w14:paraId="74C425E2">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454" w:type="pct"/>
            <w:noWrap w:val="0"/>
            <w:vAlign w:val="center"/>
          </w:tcPr>
          <w:p w14:paraId="1282227C">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崔家华</w:t>
            </w:r>
          </w:p>
        </w:tc>
        <w:tc>
          <w:tcPr>
            <w:tcW w:w="510" w:type="pct"/>
            <w:noWrap w:val="0"/>
            <w:vAlign w:val="center"/>
          </w:tcPr>
          <w:p w14:paraId="1153F9E5">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513" w:type="pct"/>
            <w:noWrap w:val="0"/>
            <w:vAlign w:val="center"/>
          </w:tcPr>
          <w:p w14:paraId="7D11EB02">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4A059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atLeast"/>
          <w:jc w:val="center"/>
        </w:trPr>
        <w:tc>
          <w:tcPr>
            <w:tcW w:w="434" w:type="pct"/>
            <w:noWrap w:val="0"/>
            <w:vAlign w:val="center"/>
          </w:tcPr>
          <w:p w14:paraId="308D01AE">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宋体" w:cs="宋体"/>
                <w:i w:val="0"/>
                <w:iCs w:val="0"/>
                <w:color w:val="000000"/>
                <w:kern w:val="0"/>
                <w:sz w:val="22"/>
                <w:szCs w:val="22"/>
                <w:u w:val="none"/>
                <w:lang w:val="en-US" w:eastAsia="zh-CN" w:bidi="ar"/>
              </w:rPr>
              <w:t>001</w:t>
            </w:r>
            <w:r>
              <w:rPr>
                <w:rFonts w:hint="eastAsia" w:ascii="宋体" w:hAnsi="宋体" w:cs="宋体"/>
                <w:i w:val="0"/>
                <w:iCs w:val="0"/>
                <w:color w:val="000000"/>
                <w:kern w:val="0"/>
                <w:sz w:val="22"/>
                <w:szCs w:val="22"/>
                <w:u w:val="none"/>
                <w:lang w:val="en-US" w:eastAsia="zh-CN" w:bidi="ar"/>
              </w:rPr>
              <w:t>3</w:t>
            </w:r>
          </w:p>
        </w:tc>
        <w:tc>
          <w:tcPr>
            <w:tcW w:w="1821" w:type="pct"/>
            <w:noWrap w:val="0"/>
            <w:vAlign w:val="center"/>
          </w:tcPr>
          <w:p w14:paraId="5C1DE62C">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基于NLRP3炎症小体通路的独脚金治疗胆汁淤积型肝损伤药效物质基础及其作用机制研究</w:t>
            </w:r>
          </w:p>
        </w:tc>
        <w:tc>
          <w:tcPr>
            <w:tcW w:w="709" w:type="pct"/>
            <w:noWrap w:val="0"/>
            <w:vAlign w:val="center"/>
          </w:tcPr>
          <w:p w14:paraId="17CD95D5">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kern w:val="2"/>
                <w:sz w:val="24"/>
                <w:szCs w:val="24"/>
                <w:lang w:val="en-US" w:eastAsia="zh-CN" w:bidi="ar-SA"/>
              </w:rPr>
            </w:pPr>
            <w:r>
              <w:rPr>
                <w:rFonts w:hint="eastAsia" w:ascii="宋体" w:hAnsi="宋体" w:eastAsia="仿宋_GB2312" w:cs="仿宋_GB2312"/>
                <w:sz w:val="24"/>
                <w:szCs w:val="24"/>
                <w:lang w:val="en-US" w:eastAsia="zh-CN"/>
              </w:rPr>
              <w:t>一般项目</w:t>
            </w:r>
          </w:p>
        </w:tc>
        <w:tc>
          <w:tcPr>
            <w:tcW w:w="557" w:type="pct"/>
            <w:noWrap w:val="0"/>
            <w:vAlign w:val="center"/>
          </w:tcPr>
          <w:p w14:paraId="36812EBE">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454" w:type="pct"/>
            <w:noWrap w:val="0"/>
            <w:vAlign w:val="center"/>
          </w:tcPr>
          <w:p w14:paraId="50A7A781">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李小军</w:t>
            </w:r>
          </w:p>
        </w:tc>
        <w:tc>
          <w:tcPr>
            <w:tcW w:w="510" w:type="pct"/>
            <w:noWrap w:val="0"/>
            <w:vAlign w:val="center"/>
          </w:tcPr>
          <w:p w14:paraId="7852AD4C">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513" w:type="pct"/>
            <w:noWrap w:val="0"/>
            <w:vAlign w:val="center"/>
          </w:tcPr>
          <w:p w14:paraId="575AEBD8">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2158E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atLeast"/>
          <w:jc w:val="center"/>
        </w:trPr>
        <w:tc>
          <w:tcPr>
            <w:tcW w:w="434" w:type="pct"/>
            <w:noWrap w:val="0"/>
            <w:vAlign w:val="center"/>
          </w:tcPr>
          <w:p w14:paraId="1E1C60BC">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0014</w:t>
            </w:r>
          </w:p>
        </w:tc>
        <w:tc>
          <w:tcPr>
            <w:tcW w:w="1821" w:type="pct"/>
            <w:noWrap w:val="0"/>
            <w:vAlign w:val="center"/>
          </w:tcPr>
          <w:p w14:paraId="3493F0C5">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基于chemerin蛋白的补骨脂改善多囊卵巢综合征的药效物质与分子机制研究</w:t>
            </w:r>
          </w:p>
        </w:tc>
        <w:tc>
          <w:tcPr>
            <w:tcW w:w="709" w:type="pct"/>
            <w:noWrap w:val="0"/>
            <w:vAlign w:val="center"/>
          </w:tcPr>
          <w:p w14:paraId="11F92145">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一般项目</w:t>
            </w:r>
          </w:p>
        </w:tc>
        <w:tc>
          <w:tcPr>
            <w:tcW w:w="557" w:type="pct"/>
            <w:noWrap w:val="0"/>
            <w:vAlign w:val="center"/>
          </w:tcPr>
          <w:p w14:paraId="670505A7">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454" w:type="pct"/>
            <w:noWrap w:val="0"/>
            <w:vAlign w:val="center"/>
          </w:tcPr>
          <w:p w14:paraId="417ED323">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黄浩</w:t>
            </w:r>
          </w:p>
        </w:tc>
        <w:tc>
          <w:tcPr>
            <w:tcW w:w="510" w:type="pct"/>
            <w:noWrap w:val="0"/>
            <w:vAlign w:val="center"/>
          </w:tcPr>
          <w:p w14:paraId="3E60A701">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513" w:type="pct"/>
            <w:noWrap w:val="0"/>
            <w:vAlign w:val="center"/>
          </w:tcPr>
          <w:p w14:paraId="3279BD51">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50023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atLeast"/>
          <w:jc w:val="center"/>
        </w:trPr>
        <w:tc>
          <w:tcPr>
            <w:tcW w:w="434" w:type="pct"/>
            <w:noWrap w:val="0"/>
            <w:vAlign w:val="center"/>
          </w:tcPr>
          <w:p w14:paraId="7BFB0EDA">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0015</w:t>
            </w:r>
          </w:p>
        </w:tc>
        <w:tc>
          <w:tcPr>
            <w:tcW w:w="1821" w:type="pct"/>
            <w:noWrap w:val="0"/>
            <w:vAlign w:val="center"/>
          </w:tcPr>
          <w:p w14:paraId="6990C069">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GHRHR通过STAT3/HIF1a/YAP1轴调控胰腺癌血管生成及代谢重编辑的机制研究</w:t>
            </w:r>
          </w:p>
        </w:tc>
        <w:tc>
          <w:tcPr>
            <w:tcW w:w="709" w:type="pct"/>
            <w:noWrap w:val="0"/>
            <w:vAlign w:val="center"/>
          </w:tcPr>
          <w:p w14:paraId="18EDA89C">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kern w:val="2"/>
                <w:sz w:val="24"/>
                <w:szCs w:val="24"/>
                <w:lang w:val="en-US" w:eastAsia="zh-CN" w:bidi="ar-SA"/>
              </w:rPr>
            </w:pPr>
            <w:r>
              <w:rPr>
                <w:rFonts w:hint="eastAsia" w:ascii="宋体" w:hAnsi="宋体" w:eastAsia="仿宋_GB2312" w:cs="仿宋_GB2312"/>
                <w:sz w:val="24"/>
                <w:szCs w:val="24"/>
                <w:lang w:val="en-US" w:eastAsia="zh-CN"/>
              </w:rPr>
              <w:t>一般项目</w:t>
            </w:r>
          </w:p>
        </w:tc>
        <w:tc>
          <w:tcPr>
            <w:tcW w:w="557" w:type="pct"/>
            <w:noWrap w:val="0"/>
            <w:vAlign w:val="center"/>
          </w:tcPr>
          <w:p w14:paraId="56DA0B9B">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454" w:type="pct"/>
            <w:noWrap w:val="0"/>
            <w:vAlign w:val="center"/>
          </w:tcPr>
          <w:p w14:paraId="6F48AA9D">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default" w:ascii="宋体" w:hAnsi="宋体" w:eastAsia="仿宋_GB2312" w:cs="仿宋_GB2312"/>
                <w:sz w:val="24"/>
                <w:szCs w:val="24"/>
                <w:lang w:val="en-US" w:eastAsia="zh-CN"/>
              </w:rPr>
              <w:t>田原僮</w:t>
            </w:r>
          </w:p>
        </w:tc>
        <w:tc>
          <w:tcPr>
            <w:tcW w:w="510" w:type="pct"/>
            <w:noWrap w:val="0"/>
            <w:vAlign w:val="center"/>
          </w:tcPr>
          <w:p w14:paraId="680084C6">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513" w:type="pct"/>
            <w:noWrap w:val="0"/>
            <w:vAlign w:val="center"/>
          </w:tcPr>
          <w:p w14:paraId="3B0D33C4">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740A9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atLeast"/>
          <w:jc w:val="center"/>
        </w:trPr>
        <w:tc>
          <w:tcPr>
            <w:tcW w:w="434" w:type="pct"/>
            <w:noWrap w:val="0"/>
            <w:vAlign w:val="center"/>
          </w:tcPr>
          <w:p w14:paraId="2BEA3D19">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0016</w:t>
            </w:r>
          </w:p>
        </w:tc>
        <w:tc>
          <w:tcPr>
            <w:tcW w:w="1821" w:type="pct"/>
            <w:noWrap w:val="0"/>
            <w:vAlign w:val="center"/>
          </w:tcPr>
          <w:p w14:paraId="75DB9712">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基于自由基策略实现烯胺酮α位C(sp2)-H键的高效转化及应用</w:t>
            </w:r>
          </w:p>
        </w:tc>
        <w:tc>
          <w:tcPr>
            <w:tcW w:w="709" w:type="pct"/>
            <w:noWrap w:val="0"/>
            <w:vAlign w:val="center"/>
          </w:tcPr>
          <w:p w14:paraId="6BFE7462">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kern w:val="2"/>
                <w:sz w:val="24"/>
                <w:szCs w:val="24"/>
                <w:lang w:val="en-US" w:eastAsia="zh-CN" w:bidi="ar-SA"/>
              </w:rPr>
            </w:pPr>
            <w:r>
              <w:rPr>
                <w:rFonts w:hint="eastAsia" w:ascii="宋体" w:hAnsi="宋体" w:eastAsia="仿宋_GB2312" w:cs="仿宋_GB2312"/>
                <w:sz w:val="24"/>
                <w:szCs w:val="24"/>
                <w:lang w:val="en-US" w:eastAsia="zh-CN"/>
              </w:rPr>
              <w:t>一般项目</w:t>
            </w:r>
          </w:p>
        </w:tc>
        <w:tc>
          <w:tcPr>
            <w:tcW w:w="557" w:type="pct"/>
            <w:noWrap w:val="0"/>
            <w:vAlign w:val="center"/>
          </w:tcPr>
          <w:p w14:paraId="3A981715">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454" w:type="pct"/>
            <w:noWrap w:val="0"/>
            <w:vAlign w:val="center"/>
          </w:tcPr>
          <w:p w14:paraId="112351FA">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default" w:ascii="宋体" w:hAnsi="宋体" w:eastAsia="仿宋_GB2312" w:cs="仿宋_GB2312"/>
                <w:sz w:val="24"/>
                <w:szCs w:val="24"/>
                <w:lang w:val="en-US" w:eastAsia="zh-CN"/>
              </w:rPr>
              <w:t>刘昭文</w:t>
            </w:r>
          </w:p>
        </w:tc>
        <w:tc>
          <w:tcPr>
            <w:tcW w:w="510" w:type="pct"/>
            <w:noWrap w:val="0"/>
            <w:vAlign w:val="center"/>
          </w:tcPr>
          <w:p w14:paraId="4713F140">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513" w:type="pct"/>
            <w:noWrap w:val="0"/>
            <w:vAlign w:val="center"/>
          </w:tcPr>
          <w:p w14:paraId="14B00593">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36211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18" w:hRule="atLeast"/>
          <w:jc w:val="center"/>
        </w:trPr>
        <w:tc>
          <w:tcPr>
            <w:tcW w:w="434" w:type="pct"/>
            <w:noWrap w:val="0"/>
            <w:vAlign w:val="center"/>
          </w:tcPr>
          <w:p w14:paraId="69F358A1">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0017</w:t>
            </w:r>
          </w:p>
        </w:tc>
        <w:tc>
          <w:tcPr>
            <w:tcW w:w="1821" w:type="pct"/>
            <w:noWrap w:val="0"/>
            <w:vAlign w:val="center"/>
          </w:tcPr>
          <w:p w14:paraId="0BACA4BD">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基于配体垂钓策略研究大蒜地上部分中β-咔啉类降血脂成分及其作用机制</w:t>
            </w:r>
          </w:p>
        </w:tc>
        <w:tc>
          <w:tcPr>
            <w:tcW w:w="709" w:type="pct"/>
            <w:noWrap w:val="0"/>
            <w:vAlign w:val="center"/>
          </w:tcPr>
          <w:p w14:paraId="4C6C7F91">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kern w:val="2"/>
                <w:sz w:val="24"/>
                <w:szCs w:val="24"/>
                <w:lang w:val="en-US" w:eastAsia="zh-CN" w:bidi="ar-SA"/>
              </w:rPr>
            </w:pPr>
            <w:r>
              <w:rPr>
                <w:rFonts w:hint="eastAsia" w:ascii="宋体" w:hAnsi="宋体" w:eastAsia="仿宋_GB2312" w:cs="仿宋_GB2312"/>
                <w:sz w:val="24"/>
                <w:szCs w:val="24"/>
                <w:lang w:val="en-US" w:eastAsia="zh-CN"/>
              </w:rPr>
              <w:t>一般项目</w:t>
            </w:r>
          </w:p>
        </w:tc>
        <w:tc>
          <w:tcPr>
            <w:tcW w:w="557" w:type="pct"/>
            <w:noWrap w:val="0"/>
            <w:vAlign w:val="center"/>
          </w:tcPr>
          <w:p w14:paraId="258E2B6A">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454" w:type="pct"/>
            <w:noWrap w:val="0"/>
            <w:vAlign w:val="center"/>
          </w:tcPr>
          <w:p w14:paraId="0FE6A3B8">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default" w:ascii="宋体" w:hAnsi="宋体" w:eastAsia="仿宋_GB2312" w:cs="仿宋_GB2312"/>
                <w:sz w:val="24"/>
                <w:szCs w:val="24"/>
                <w:lang w:val="en-US" w:eastAsia="zh-CN"/>
              </w:rPr>
              <w:t>胡斌</w:t>
            </w:r>
          </w:p>
        </w:tc>
        <w:tc>
          <w:tcPr>
            <w:tcW w:w="510" w:type="pct"/>
            <w:noWrap w:val="0"/>
            <w:vAlign w:val="center"/>
          </w:tcPr>
          <w:p w14:paraId="790242C8">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513" w:type="pct"/>
            <w:noWrap w:val="0"/>
            <w:vAlign w:val="center"/>
          </w:tcPr>
          <w:p w14:paraId="77A88A01">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7450E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atLeast"/>
          <w:jc w:val="center"/>
        </w:trPr>
        <w:tc>
          <w:tcPr>
            <w:tcW w:w="434" w:type="pct"/>
            <w:noWrap w:val="0"/>
            <w:vAlign w:val="center"/>
          </w:tcPr>
          <w:p w14:paraId="27C262BD">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0018</w:t>
            </w:r>
          </w:p>
        </w:tc>
        <w:tc>
          <w:tcPr>
            <w:tcW w:w="1821" w:type="pct"/>
            <w:noWrap w:val="0"/>
            <w:vAlign w:val="center"/>
          </w:tcPr>
          <w:p w14:paraId="463345E7">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Y轴共轭延伸策略增强NIR-II聚合物光声性能及其在脑血管成像的应用研究</w:t>
            </w:r>
          </w:p>
        </w:tc>
        <w:tc>
          <w:tcPr>
            <w:tcW w:w="709" w:type="pct"/>
            <w:noWrap w:val="0"/>
            <w:vAlign w:val="center"/>
          </w:tcPr>
          <w:p w14:paraId="0CF3CC7C">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kern w:val="2"/>
                <w:sz w:val="24"/>
                <w:szCs w:val="24"/>
                <w:lang w:val="en-US" w:eastAsia="zh-CN" w:bidi="ar-SA"/>
              </w:rPr>
            </w:pPr>
            <w:r>
              <w:rPr>
                <w:rFonts w:hint="eastAsia" w:ascii="宋体" w:hAnsi="宋体" w:eastAsia="仿宋_GB2312" w:cs="仿宋_GB2312"/>
                <w:sz w:val="24"/>
                <w:szCs w:val="24"/>
                <w:lang w:val="en-US" w:eastAsia="zh-CN"/>
              </w:rPr>
              <w:t>一般项目</w:t>
            </w:r>
          </w:p>
        </w:tc>
        <w:tc>
          <w:tcPr>
            <w:tcW w:w="557" w:type="pct"/>
            <w:noWrap w:val="0"/>
            <w:vAlign w:val="center"/>
          </w:tcPr>
          <w:p w14:paraId="2AFDE1AA">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454" w:type="pct"/>
            <w:noWrap w:val="0"/>
            <w:vAlign w:val="center"/>
          </w:tcPr>
          <w:p w14:paraId="55D1AE17">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default" w:ascii="宋体" w:hAnsi="宋体" w:eastAsia="仿宋_GB2312" w:cs="仿宋_GB2312"/>
                <w:sz w:val="24"/>
                <w:szCs w:val="24"/>
                <w:lang w:val="en-US" w:eastAsia="zh-CN"/>
              </w:rPr>
              <w:t>黄薛龙</w:t>
            </w:r>
          </w:p>
        </w:tc>
        <w:tc>
          <w:tcPr>
            <w:tcW w:w="510" w:type="pct"/>
            <w:noWrap w:val="0"/>
            <w:vAlign w:val="center"/>
          </w:tcPr>
          <w:p w14:paraId="13CB8997">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kern w:val="2"/>
                <w:sz w:val="24"/>
                <w:szCs w:val="24"/>
                <w:lang w:val="en-US" w:eastAsia="zh-CN" w:bidi="ar-SA"/>
              </w:rPr>
            </w:pPr>
            <w:r>
              <w:rPr>
                <w:rFonts w:hint="eastAsia" w:ascii="宋体" w:hAnsi="宋体" w:eastAsia="仿宋_GB2312" w:cs="仿宋_GB2312"/>
                <w:kern w:val="2"/>
                <w:sz w:val="24"/>
                <w:szCs w:val="24"/>
                <w:lang w:val="en-US" w:eastAsia="zh-CN" w:bidi="ar-SA"/>
              </w:rPr>
              <w:t>10</w:t>
            </w:r>
          </w:p>
        </w:tc>
        <w:tc>
          <w:tcPr>
            <w:tcW w:w="513" w:type="pct"/>
            <w:noWrap w:val="0"/>
            <w:vAlign w:val="center"/>
          </w:tcPr>
          <w:p w14:paraId="4422F602">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kern w:val="2"/>
                <w:sz w:val="24"/>
                <w:szCs w:val="24"/>
                <w:lang w:val="en-US" w:eastAsia="zh-CN" w:bidi="ar-SA"/>
              </w:rPr>
            </w:pPr>
            <w:r>
              <w:rPr>
                <w:rFonts w:hint="eastAsia" w:ascii="宋体" w:hAnsi="宋体" w:eastAsia="仿宋_GB2312" w:cs="仿宋_GB2312"/>
                <w:kern w:val="2"/>
                <w:sz w:val="24"/>
                <w:szCs w:val="24"/>
                <w:lang w:val="en-US" w:eastAsia="zh-CN" w:bidi="ar-SA"/>
              </w:rPr>
              <w:t>10</w:t>
            </w:r>
          </w:p>
        </w:tc>
      </w:tr>
      <w:tr w14:paraId="15500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atLeast"/>
          <w:jc w:val="center"/>
        </w:trPr>
        <w:tc>
          <w:tcPr>
            <w:tcW w:w="434" w:type="pct"/>
            <w:noWrap w:val="0"/>
            <w:vAlign w:val="center"/>
          </w:tcPr>
          <w:p w14:paraId="0161CF39">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0019</w:t>
            </w:r>
          </w:p>
        </w:tc>
        <w:tc>
          <w:tcPr>
            <w:tcW w:w="1821" w:type="pct"/>
            <w:noWrap w:val="0"/>
            <w:vAlign w:val="center"/>
          </w:tcPr>
          <w:p w14:paraId="226774C4">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基于STAT3通路抑制的新型α，β-不饱和酮衍生物的设计合成、抗肿瘤活性与机制研究</w:t>
            </w:r>
          </w:p>
        </w:tc>
        <w:tc>
          <w:tcPr>
            <w:tcW w:w="709" w:type="pct"/>
            <w:noWrap w:val="0"/>
            <w:vAlign w:val="center"/>
          </w:tcPr>
          <w:p w14:paraId="35A4C924">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kern w:val="2"/>
                <w:sz w:val="24"/>
                <w:szCs w:val="24"/>
                <w:lang w:val="en-US" w:eastAsia="zh-CN" w:bidi="ar-SA"/>
              </w:rPr>
            </w:pPr>
            <w:r>
              <w:rPr>
                <w:rFonts w:hint="eastAsia" w:ascii="宋体" w:hAnsi="宋体" w:eastAsia="仿宋_GB2312" w:cs="仿宋_GB2312"/>
                <w:sz w:val="24"/>
                <w:szCs w:val="24"/>
                <w:lang w:val="en-US" w:eastAsia="zh-CN"/>
              </w:rPr>
              <w:t>一般项目</w:t>
            </w:r>
          </w:p>
        </w:tc>
        <w:tc>
          <w:tcPr>
            <w:tcW w:w="557" w:type="pct"/>
            <w:noWrap w:val="0"/>
            <w:vAlign w:val="center"/>
          </w:tcPr>
          <w:p w14:paraId="1B197113">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454" w:type="pct"/>
            <w:noWrap w:val="0"/>
            <w:vAlign w:val="center"/>
          </w:tcPr>
          <w:p w14:paraId="4C22BECE">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default" w:ascii="宋体" w:hAnsi="宋体" w:eastAsia="仿宋_GB2312" w:cs="仿宋_GB2312"/>
                <w:sz w:val="24"/>
                <w:szCs w:val="24"/>
                <w:lang w:val="en-US" w:eastAsia="zh-CN"/>
              </w:rPr>
              <w:t>侯文</w:t>
            </w:r>
          </w:p>
        </w:tc>
        <w:tc>
          <w:tcPr>
            <w:tcW w:w="510" w:type="pct"/>
            <w:noWrap w:val="0"/>
            <w:vAlign w:val="center"/>
          </w:tcPr>
          <w:p w14:paraId="62FAC9D1">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513" w:type="pct"/>
            <w:noWrap w:val="0"/>
            <w:vAlign w:val="center"/>
          </w:tcPr>
          <w:p w14:paraId="21FE7E52">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7F0C6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atLeast"/>
          <w:jc w:val="center"/>
        </w:trPr>
        <w:tc>
          <w:tcPr>
            <w:tcW w:w="434" w:type="pct"/>
            <w:noWrap w:val="0"/>
            <w:vAlign w:val="center"/>
          </w:tcPr>
          <w:p w14:paraId="5057B9BA">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0020</w:t>
            </w:r>
          </w:p>
        </w:tc>
        <w:tc>
          <w:tcPr>
            <w:tcW w:w="1821" w:type="pct"/>
            <w:noWrap w:val="0"/>
            <w:vAlign w:val="center"/>
          </w:tcPr>
          <w:p w14:paraId="3A0DFB1D">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中药蛴螬抗血栓活性及物质基础研究</w:t>
            </w:r>
          </w:p>
        </w:tc>
        <w:tc>
          <w:tcPr>
            <w:tcW w:w="709" w:type="pct"/>
            <w:noWrap w:val="0"/>
            <w:vAlign w:val="center"/>
          </w:tcPr>
          <w:p w14:paraId="694BE70B">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kern w:val="2"/>
                <w:sz w:val="24"/>
                <w:szCs w:val="24"/>
                <w:lang w:val="en-US" w:eastAsia="zh-CN" w:bidi="ar-SA"/>
              </w:rPr>
            </w:pPr>
            <w:r>
              <w:rPr>
                <w:rFonts w:hint="eastAsia" w:ascii="宋体" w:hAnsi="宋体" w:eastAsia="仿宋_GB2312" w:cs="仿宋_GB2312"/>
                <w:sz w:val="24"/>
                <w:szCs w:val="24"/>
                <w:lang w:val="en-US" w:eastAsia="zh-CN"/>
              </w:rPr>
              <w:t>一般项目</w:t>
            </w:r>
          </w:p>
        </w:tc>
        <w:tc>
          <w:tcPr>
            <w:tcW w:w="557" w:type="pct"/>
            <w:noWrap w:val="0"/>
            <w:vAlign w:val="center"/>
          </w:tcPr>
          <w:p w14:paraId="4549A45C">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454" w:type="pct"/>
            <w:noWrap w:val="0"/>
            <w:vAlign w:val="center"/>
          </w:tcPr>
          <w:p w14:paraId="156726C5">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default" w:ascii="宋体" w:hAnsi="宋体" w:eastAsia="仿宋_GB2312" w:cs="仿宋_GB2312"/>
                <w:sz w:val="24"/>
                <w:szCs w:val="24"/>
                <w:lang w:val="en-US" w:eastAsia="zh-CN"/>
              </w:rPr>
              <w:t>刘海</w:t>
            </w:r>
          </w:p>
        </w:tc>
        <w:tc>
          <w:tcPr>
            <w:tcW w:w="510" w:type="pct"/>
            <w:noWrap w:val="0"/>
            <w:vAlign w:val="center"/>
          </w:tcPr>
          <w:p w14:paraId="77E607BF">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513" w:type="pct"/>
            <w:noWrap w:val="0"/>
            <w:vAlign w:val="center"/>
          </w:tcPr>
          <w:p w14:paraId="01C88B42">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42EC5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atLeast"/>
          <w:jc w:val="center"/>
        </w:trPr>
        <w:tc>
          <w:tcPr>
            <w:tcW w:w="434" w:type="pct"/>
            <w:noWrap w:val="0"/>
            <w:vAlign w:val="center"/>
          </w:tcPr>
          <w:p w14:paraId="2CF9D850">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0021</w:t>
            </w:r>
          </w:p>
        </w:tc>
        <w:tc>
          <w:tcPr>
            <w:tcW w:w="1821" w:type="pct"/>
            <w:noWrap w:val="0"/>
            <w:vAlign w:val="center"/>
          </w:tcPr>
          <w:p w14:paraId="2096310E">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枳壳总黄酮抗炎症相关结直肠癌的临床前研究</w:t>
            </w:r>
          </w:p>
        </w:tc>
        <w:tc>
          <w:tcPr>
            <w:tcW w:w="709" w:type="pct"/>
            <w:noWrap w:val="0"/>
            <w:vAlign w:val="center"/>
          </w:tcPr>
          <w:p w14:paraId="195A7101">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一般项目</w:t>
            </w:r>
          </w:p>
        </w:tc>
        <w:tc>
          <w:tcPr>
            <w:tcW w:w="557" w:type="pct"/>
            <w:noWrap w:val="0"/>
            <w:vAlign w:val="center"/>
          </w:tcPr>
          <w:p w14:paraId="025D9E9D">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454" w:type="pct"/>
            <w:noWrap w:val="0"/>
            <w:vAlign w:val="center"/>
          </w:tcPr>
          <w:p w14:paraId="1481C859">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default" w:ascii="宋体" w:hAnsi="宋体" w:eastAsia="仿宋_GB2312" w:cs="仿宋_GB2312"/>
                <w:sz w:val="24"/>
                <w:szCs w:val="24"/>
                <w:lang w:val="en-US" w:eastAsia="zh-CN"/>
              </w:rPr>
              <w:t>殷华峰</w:t>
            </w:r>
          </w:p>
        </w:tc>
        <w:tc>
          <w:tcPr>
            <w:tcW w:w="510" w:type="pct"/>
            <w:noWrap w:val="0"/>
            <w:vAlign w:val="center"/>
          </w:tcPr>
          <w:p w14:paraId="02DF8E4A">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513" w:type="pct"/>
            <w:noWrap w:val="0"/>
            <w:vAlign w:val="center"/>
          </w:tcPr>
          <w:p w14:paraId="19F67036">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43264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atLeast"/>
          <w:jc w:val="center"/>
        </w:trPr>
        <w:tc>
          <w:tcPr>
            <w:tcW w:w="434" w:type="pct"/>
            <w:noWrap w:val="0"/>
            <w:vAlign w:val="center"/>
          </w:tcPr>
          <w:p w14:paraId="75C1CFD2">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0022</w:t>
            </w:r>
          </w:p>
        </w:tc>
        <w:tc>
          <w:tcPr>
            <w:tcW w:w="1821" w:type="pct"/>
            <w:noWrap w:val="0"/>
            <w:vAlign w:val="center"/>
          </w:tcPr>
          <w:p w14:paraId="7FE62EC4">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CDK9-HMGCS1通路调控胆固醇代谢促进RB肿瘤恶性进展的机制研究</w:t>
            </w:r>
          </w:p>
        </w:tc>
        <w:tc>
          <w:tcPr>
            <w:tcW w:w="709" w:type="pct"/>
            <w:noWrap w:val="0"/>
            <w:vAlign w:val="center"/>
          </w:tcPr>
          <w:p w14:paraId="6A3523AA">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青年人才项目</w:t>
            </w:r>
          </w:p>
        </w:tc>
        <w:tc>
          <w:tcPr>
            <w:tcW w:w="557" w:type="pct"/>
            <w:noWrap w:val="0"/>
            <w:vAlign w:val="center"/>
          </w:tcPr>
          <w:p w14:paraId="62CD5EFD">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454" w:type="pct"/>
            <w:noWrap w:val="0"/>
            <w:vAlign w:val="center"/>
          </w:tcPr>
          <w:p w14:paraId="7E961BF5">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default" w:ascii="宋体" w:hAnsi="宋体" w:eastAsia="仿宋_GB2312" w:cs="仿宋_GB2312"/>
                <w:sz w:val="24"/>
                <w:szCs w:val="24"/>
                <w:lang w:val="en-US" w:eastAsia="zh-CN"/>
              </w:rPr>
              <w:t>戴伟</w:t>
            </w:r>
          </w:p>
        </w:tc>
        <w:tc>
          <w:tcPr>
            <w:tcW w:w="510" w:type="pct"/>
            <w:noWrap w:val="0"/>
            <w:vAlign w:val="center"/>
          </w:tcPr>
          <w:p w14:paraId="0D9B46C3">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513" w:type="pct"/>
            <w:noWrap w:val="0"/>
            <w:vAlign w:val="center"/>
          </w:tcPr>
          <w:p w14:paraId="15E024FD">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53844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atLeast"/>
          <w:jc w:val="center"/>
        </w:trPr>
        <w:tc>
          <w:tcPr>
            <w:tcW w:w="434" w:type="pct"/>
            <w:noWrap w:val="0"/>
            <w:vAlign w:val="center"/>
          </w:tcPr>
          <w:p w14:paraId="1FE5A1B6">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0023</w:t>
            </w:r>
          </w:p>
        </w:tc>
        <w:tc>
          <w:tcPr>
            <w:tcW w:w="1821" w:type="pct"/>
            <w:noWrap w:val="0"/>
            <w:vAlign w:val="center"/>
          </w:tcPr>
          <w:p w14:paraId="389D8BA5">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基于线粒体靶向的α-生育酚琥珀酸酯功能化药物递送系统调控病理性血脑屏障功能“恢复”协同化疗治疗胶质母细胞瘤研究</w:t>
            </w:r>
          </w:p>
        </w:tc>
        <w:tc>
          <w:tcPr>
            <w:tcW w:w="709" w:type="pct"/>
            <w:noWrap w:val="0"/>
            <w:vAlign w:val="center"/>
          </w:tcPr>
          <w:p w14:paraId="288DC9DA">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青年人才项目</w:t>
            </w:r>
          </w:p>
        </w:tc>
        <w:tc>
          <w:tcPr>
            <w:tcW w:w="557" w:type="pct"/>
            <w:noWrap w:val="0"/>
            <w:vAlign w:val="center"/>
          </w:tcPr>
          <w:p w14:paraId="426359CA">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454" w:type="pct"/>
            <w:noWrap w:val="0"/>
            <w:vAlign w:val="center"/>
          </w:tcPr>
          <w:p w14:paraId="6A61EC40">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default" w:ascii="宋体" w:hAnsi="宋体" w:eastAsia="仿宋_GB2312" w:cs="仿宋_GB2312"/>
                <w:sz w:val="24"/>
                <w:szCs w:val="24"/>
                <w:lang w:val="en-US" w:eastAsia="zh-CN"/>
              </w:rPr>
              <w:t>温丽娟</w:t>
            </w:r>
          </w:p>
        </w:tc>
        <w:tc>
          <w:tcPr>
            <w:tcW w:w="510" w:type="pct"/>
            <w:noWrap w:val="0"/>
            <w:vAlign w:val="center"/>
          </w:tcPr>
          <w:p w14:paraId="456DADF3">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513" w:type="pct"/>
            <w:noWrap w:val="0"/>
            <w:vAlign w:val="center"/>
          </w:tcPr>
          <w:p w14:paraId="06882A4C">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6389B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atLeast"/>
          <w:jc w:val="center"/>
        </w:trPr>
        <w:tc>
          <w:tcPr>
            <w:tcW w:w="434" w:type="pct"/>
            <w:noWrap w:val="0"/>
            <w:vAlign w:val="center"/>
          </w:tcPr>
          <w:p w14:paraId="5ED8EDDE">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0024</w:t>
            </w:r>
          </w:p>
        </w:tc>
        <w:tc>
          <w:tcPr>
            <w:tcW w:w="1821" w:type="pct"/>
            <w:noWrap w:val="0"/>
            <w:vAlign w:val="center"/>
          </w:tcPr>
          <w:p w14:paraId="5168DAD4">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原花青素B3靶向p300调控SP1/PFKP抑制破骨细胞糖酵解重编程和抗骨质疏松的机制研究</w:t>
            </w:r>
          </w:p>
        </w:tc>
        <w:tc>
          <w:tcPr>
            <w:tcW w:w="709" w:type="pct"/>
            <w:noWrap w:val="0"/>
            <w:vAlign w:val="center"/>
          </w:tcPr>
          <w:p w14:paraId="182AC0F2">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青年人才项目</w:t>
            </w:r>
          </w:p>
        </w:tc>
        <w:tc>
          <w:tcPr>
            <w:tcW w:w="557" w:type="pct"/>
            <w:noWrap w:val="0"/>
            <w:vAlign w:val="center"/>
          </w:tcPr>
          <w:p w14:paraId="01972DA6">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454" w:type="pct"/>
            <w:noWrap w:val="0"/>
            <w:vAlign w:val="center"/>
          </w:tcPr>
          <w:p w14:paraId="15EE5967">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default" w:ascii="宋体" w:hAnsi="宋体" w:eastAsia="仿宋_GB2312" w:cs="仿宋_GB2312"/>
                <w:sz w:val="24"/>
                <w:szCs w:val="24"/>
                <w:lang w:val="en-US" w:eastAsia="zh-CN"/>
              </w:rPr>
              <w:t>谢保平</w:t>
            </w:r>
          </w:p>
        </w:tc>
        <w:tc>
          <w:tcPr>
            <w:tcW w:w="510" w:type="pct"/>
            <w:noWrap w:val="0"/>
            <w:vAlign w:val="center"/>
          </w:tcPr>
          <w:p w14:paraId="07D060A5">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513" w:type="pct"/>
            <w:noWrap w:val="0"/>
            <w:vAlign w:val="center"/>
          </w:tcPr>
          <w:p w14:paraId="654A0C58">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71140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atLeast"/>
          <w:jc w:val="center"/>
        </w:trPr>
        <w:tc>
          <w:tcPr>
            <w:tcW w:w="434" w:type="pct"/>
            <w:noWrap w:val="0"/>
            <w:vAlign w:val="center"/>
          </w:tcPr>
          <w:p w14:paraId="2A3E6355">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0025</w:t>
            </w:r>
          </w:p>
        </w:tc>
        <w:tc>
          <w:tcPr>
            <w:tcW w:w="1821" w:type="pct"/>
            <w:noWrap w:val="0"/>
            <w:vAlign w:val="center"/>
          </w:tcPr>
          <w:p w14:paraId="285C55E2">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靶向亲和NLRP3挖掘迷迭香中抗炎活性成分及其作用机制研究</w:t>
            </w:r>
          </w:p>
        </w:tc>
        <w:tc>
          <w:tcPr>
            <w:tcW w:w="709" w:type="pct"/>
            <w:noWrap w:val="0"/>
            <w:vAlign w:val="center"/>
          </w:tcPr>
          <w:p w14:paraId="526D4EFC">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kern w:val="2"/>
                <w:sz w:val="24"/>
                <w:szCs w:val="24"/>
                <w:lang w:val="en-US" w:eastAsia="zh-CN" w:bidi="ar-SA"/>
              </w:rPr>
            </w:pPr>
            <w:r>
              <w:rPr>
                <w:rFonts w:hint="eastAsia" w:ascii="宋体" w:hAnsi="宋体" w:eastAsia="仿宋_GB2312" w:cs="仿宋_GB2312"/>
                <w:sz w:val="24"/>
                <w:szCs w:val="24"/>
                <w:lang w:val="en-US" w:eastAsia="zh-CN"/>
              </w:rPr>
              <w:t>青年人才项目</w:t>
            </w:r>
          </w:p>
        </w:tc>
        <w:tc>
          <w:tcPr>
            <w:tcW w:w="557" w:type="pct"/>
            <w:noWrap w:val="0"/>
            <w:vAlign w:val="center"/>
          </w:tcPr>
          <w:p w14:paraId="75E3A82D">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454" w:type="pct"/>
            <w:noWrap w:val="0"/>
            <w:vAlign w:val="center"/>
          </w:tcPr>
          <w:p w14:paraId="771B5644">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default" w:ascii="宋体" w:hAnsi="宋体" w:eastAsia="仿宋_GB2312" w:cs="仿宋_GB2312"/>
                <w:sz w:val="24"/>
                <w:szCs w:val="24"/>
                <w:lang w:val="en-US" w:eastAsia="zh-CN"/>
              </w:rPr>
              <w:t>钟祥健</w:t>
            </w:r>
          </w:p>
        </w:tc>
        <w:tc>
          <w:tcPr>
            <w:tcW w:w="510" w:type="pct"/>
            <w:noWrap w:val="0"/>
            <w:vAlign w:val="center"/>
          </w:tcPr>
          <w:p w14:paraId="0AACEECC">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513" w:type="pct"/>
            <w:noWrap w:val="0"/>
            <w:vAlign w:val="center"/>
          </w:tcPr>
          <w:p w14:paraId="0509BA9F">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59F3B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atLeast"/>
          <w:jc w:val="center"/>
        </w:trPr>
        <w:tc>
          <w:tcPr>
            <w:tcW w:w="434" w:type="pct"/>
            <w:noWrap w:val="0"/>
            <w:vAlign w:val="center"/>
          </w:tcPr>
          <w:p w14:paraId="3536B03B">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0026</w:t>
            </w:r>
          </w:p>
        </w:tc>
        <w:tc>
          <w:tcPr>
            <w:tcW w:w="1821" w:type="pct"/>
            <w:noWrap w:val="0"/>
            <w:vAlign w:val="center"/>
          </w:tcPr>
          <w:p w14:paraId="31937EB6">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C-H键单氟烯化/环化串联策略高效构建氟代喹唑啉酮活性骨架</w:t>
            </w:r>
          </w:p>
        </w:tc>
        <w:tc>
          <w:tcPr>
            <w:tcW w:w="709" w:type="pct"/>
            <w:noWrap w:val="0"/>
            <w:vAlign w:val="center"/>
          </w:tcPr>
          <w:p w14:paraId="5B3B20BC">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kern w:val="2"/>
                <w:sz w:val="24"/>
                <w:szCs w:val="24"/>
                <w:lang w:val="en-US" w:eastAsia="zh-CN" w:bidi="ar-SA"/>
              </w:rPr>
            </w:pPr>
            <w:r>
              <w:rPr>
                <w:rFonts w:hint="eastAsia" w:ascii="宋体" w:hAnsi="宋体" w:eastAsia="仿宋_GB2312" w:cs="仿宋_GB2312"/>
                <w:sz w:val="24"/>
                <w:szCs w:val="24"/>
                <w:lang w:val="en-US" w:eastAsia="zh-CN"/>
              </w:rPr>
              <w:t>青年人才项目</w:t>
            </w:r>
          </w:p>
        </w:tc>
        <w:tc>
          <w:tcPr>
            <w:tcW w:w="557" w:type="pct"/>
            <w:noWrap w:val="0"/>
            <w:vAlign w:val="center"/>
          </w:tcPr>
          <w:p w14:paraId="6F06456F">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454" w:type="pct"/>
            <w:noWrap w:val="0"/>
            <w:vAlign w:val="center"/>
          </w:tcPr>
          <w:p w14:paraId="1B1DE144">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default" w:ascii="宋体" w:hAnsi="宋体" w:eastAsia="仿宋_GB2312" w:cs="仿宋_GB2312"/>
                <w:sz w:val="24"/>
                <w:szCs w:val="24"/>
                <w:lang w:val="en-US" w:eastAsia="zh-CN"/>
              </w:rPr>
              <w:t>吴高荣</w:t>
            </w:r>
          </w:p>
        </w:tc>
        <w:tc>
          <w:tcPr>
            <w:tcW w:w="510" w:type="pct"/>
            <w:noWrap w:val="0"/>
            <w:vAlign w:val="center"/>
          </w:tcPr>
          <w:p w14:paraId="42A31CE3">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kern w:val="2"/>
                <w:sz w:val="24"/>
                <w:szCs w:val="24"/>
                <w:lang w:val="en-US" w:eastAsia="zh-CN" w:bidi="ar-SA"/>
              </w:rPr>
            </w:pPr>
            <w:r>
              <w:rPr>
                <w:rFonts w:hint="eastAsia" w:ascii="宋体" w:hAnsi="宋体" w:eastAsia="仿宋_GB2312" w:cs="仿宋_GB2312"/>
                <w:sz w:val="24"/>
                <w:szCs w:val="24"/>
                <w:lang w:val="en-US" w:eastAsia="zh-CN"/>
              </w:rPr>
              <w:t>10</w:t>
            </w:r>
          </w:p>
        </w:tc>
        <w:tc>
          <w:tcPr>
            <w:tcW w:w="513" w:type="pct"/>
            <w:noWrap w:val="0"/>
            <w:vAlign w:val="center"/>
          </w:tcPr>
          <w:p w14:paraId="61D80AFF">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kern w:val="2"/>
                <w:sz w:val="24"/>
                <w:szCs w:val="24"/>
                <w:lang w:val="en-US" w:eastAsia="zh-CN" w:bidi="ar-SA"/>
              </w:rPr>
            </w:pPr>
            <w:r>
              <w:rPr>
                <w:rFonts w:hint="eastAsia" w:ascii="宋体" w:hAnsi="宋体" w:eastAsia="仿宋_GB2312" w:cs="仿宋_GB2312"/>
                <w:sz w:val="24"/>
                <w:szCs w:val="24"/>
                <w:lang w:val="en-US" w:eastAsia="zh-CN"/>
              </w:rPr>
              <w:t>10</w:t>
            </w:r>
          </w:p>
        </w:tc>
      </w:tr>
      <w:tr w14:paraId="7082D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atLeast"/>
          <w:jc w:val="center"/>
        </w:trPr>
        <w:tc>
          <w:tcPr>
            <w:tcW w:w="434" w:type="pct"/>
            <w:noWrap w:val="0"/>
            <w:vAlign w:val="center"/>
          </w:tcPr>
          <w:p w14:paraId="235BBE28">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0027</w:t>
            </w:r>
          </w:p>
        </w:tc>
        <w:tc>
          <w:tcPr>
            <w:tcW w:w="1821" w:type="pct"/>
            <w:noWrap w:val="0"/>
            <w:vAlign w:val="center"/>
          </w:tcPr>
          <w:p w14:paraId="210AEE17">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桦树茸多糖经GINS1/Sp1/SPHK1轴抑制肺癌生长的机制研究</w:t>
            </w:r>
          </w:p>
        </w:tc>
        <w:tc>
          <w:tcPr>
            <w:tcW w:w="709" w:type="pct"/>
            <w:noWrap w:val="0"/>
            <w:vAlign w:val="center"/>
          </w:tcPr>
          <w:p w14:paraId="6B448AC8">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kern w:val="2"/>
                <w:sz w:val="24"/>
                <w:szCs w:val="24"/>
                <w:lang w:val="en-US" w:eastAsia="zh-CN" w:bidi="ar-SA"/>
              </w:rPr>
            </w:pPr>
            <w:r>
              <w:rPr>
                <w:rFonts w:hint="eastAsia" w:ascii="宋体" w:hAnsi="宋体" w:eastAsia="仿宋_GB2312" w:cs="仿宋_GB2312"/>
                <w:sz w:val="24"/>
                <w:szCs w:val="24"/>
                <w:lang w:val="en-US" w:eastAsia="zh-CN"/>
              </w:rPr>
              <w:t>青年人才项目</w:t>
            </w:r>
          </w:p>
        </w:tc>
        <w:tc>
          <w:tcPr>
            <w:tcW w:w="557" w:type="pct"/>
            <w:noWrap w:val="0"/>
            <w:vAlign w:val="center"/>
          </w:tcPr>
          <w:p w14:paraId="369D600B">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454" w:type="pct"/>
            <w:noWrap w:val="0"/>
            <w:vAlign w:val="center"/>
          </w:tcPr>
          <w:p w14:paraId="7A0DCB14">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default" w:ascii="宋体" w:hAnsi="宋体" w:eastAsia="仿宋_GB2312" w:cs="仿宋_GB2312"/>
                <w:sz w:val="24"/>
                <w:szCs w:val="24"/>
                <w:lang w:val="en-US" w:eastAsia="zh-CN"/>
              </w:rPr>
              <w:t>蒋淑平</w:t>
            </w:r>
          </w:p>
        </w:tc>
        <w:tc>
          <w:tcPr>
            <w:tcW w:w="510" w:type="pct"/>
            <w:noWrap w:val="0"/>
            <w:vAlign w:val="center"/>
          </w:tcPr>
          <w:p w14:paraId="06EC51C0">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kern w:val="2"/>
                <w:sz w:val="24"/>
                <w:szCs w:val="24"/>
                <w:lang w:val="en-US" w:eastAsia="zh-CN" w:bidi="ar-SA"/>
              </w:rPr>
            </w:pPr>
            <w:r>
              <w:rPr>
                <w:rFonts w:hint="eastAsia" w:ascii="宋体" w:hAnsi="宋体" w:eastAsia="仿宋_GB2312" w:cs="仿宋_GB2312"/>
                <w:sz w:val="24"/>
                <w:szCs w:val="24"/>
                <w:lang w:val="en-US" w:eastAsia="zh-CN"/>
              </w:rPr>
              <w:t>10</w:t>
            </w:r>
          </w:p>
        </w:tc>
        <w:tc>
          <w:tcPr>
            <w:tcW w:w="513" w:type="pct"/>
            <w:noWrap w:val="0"/>
            <w:vAlign w:val="center"/>
          </w:tcPr>
          <w:p w14:paraId="574280DF">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kern w:val="2"/>
                <w:sz w:val="24"/>
                <w:szCs w:val="24"/>
                <w:lang w:val="en-US" w:eastAsia="zh-CN" w:bidi="ar-SA"/>
              </w:rPr>
            </w:pPr>
            <w:r>
              <w:rPr>
                <w:rFonts w:hint="eastAsia" w:ascii="宋体" w:hAnsi="宋体" w:eastAsia="仿宋_GB2312" w:cs="仿宋_GB2312"/>
                <w:sz w:val="24"/>
                <w:szCs w:val="24"/>
                <w:lang w:val="en-US" w:eastAsia="zh-CN"/>
              </w:rPr>
              <w:t>10</w:t>
            </w:r>
          </w:p>
        </w:tc>
      </w:tr>
      <w:tr w14:paraId="055F5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atLeast"/>
          <w:jc w:val="center"/>
        </w:trPr>
        <w:tc>
          <w:tcPr>
            <w:tcW w:w="434" w:type="pct"/>
            <w:noWrap w:val="0"/>
            <w:vAlign w:val="center"/>
          </w:tcPr>
          <w:p w14:paraId="57A1EBA8">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0028</w:t>
            </w:r>
          </w:p>
        </w:tc>
        <w:tc>
          <w:tcPr>
            <w:tcW w:w="1821" w:type="pct"/>
            <w:noWrap w:val="0"/>
            <w:vAlign w:val="center"/>
          </w:tcPr>
          <w:p w14:paraId="03D6685B">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AD16通过α7nAChR-PI3K/AKT通路调控星形胶质细胞极化减轻脑缺血再灌注铁死亡的机制研究</w:t>
            </w:r>
          </w:p>
        </w:tc>
        <w:tc>
          <w:tcPr>
            <w:tcW w:w="709" w:type="pct"/>
            <w:noWrap w:val="0"/>
            <w:vAlign w:val="center"/>
          </w:tcPr>
          <w:p w14:paraId="3CE65305">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kern w:val="2"/>
                <w:sz w:val="24"/>
                <w:szCs w:val="24"/>
                <w:lang w:val="en-US" w:eastAsia="zh-CN" w:bidi="ar-SA"/>
              </w:rPr>
            </w:pPr>
            <w:r>
              <w:rPr>
                <w:rFonts w:hint="eastAsia" w:ascii="宋体" w:hAnsi="宋体" w:eastAsia="仿宋_GB2312" w:cs="仿宋_GB2312"/>
                <w:sz w:val="24"/>
                <w:szCs w:val="24"/>
                <w:lang w:val="en-US" w:eastAsia="zh-CN"/>
              </w:rPr>
              <w:t>青年人才项目</w:t>
            </w:r>
          </w:p>
        </w:tc>
        <w:tc>
          <w:tcPr>
            <w:tcW w:w="557" w:type="pct"/>
            <w:noWrap w:val="0"/>
            <w:vAlign w:val="center"/>
          </w:tcPr>
          <w:p w14:paraId="2235D021">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454" w:type="pct"/>
            <w:noWrap w:val="0"/>
            <w:vAlign w:val="center"/>
          </w:tcPr>
          <w:p w14:paraId="4FC1A1B7">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default" w:ascii="宋体" w:hAnsi="宋体" w:eastAsia="仿宋_GB2312" w:cs="仿宋_GB2312"/>
                <w:sz w:val="24"/>
                <w:szCs w:val="24"/>
                <w:lang w:val="en-US" w:eastAsia="zh-CN"/>
              </w:rPr>
              <w:t>张丽梅</w:t>
            </w:r>
          </w:p>
        </w:tc>
        <w:tc>
          <w:tcPr>
            <w:tcW w:w="510" w:type="pct"/>
            <w:noWrap w:val="0"/>
            <w:vAlign w:val="center"/>
          </w:tcPr>
          <w:p w14:paraId="0EDA7563">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kern w:val="2"/>
                <w:sz w:val="24"/>
                <w:szCs w:val="24"/>
                <w:lang w:val="en-US" w:eastAsia="zh-CN" w:bidi="ar-SA"/>
              </w:rPr>
            </w:pPr>
            <w:r>
              <w:rPr>
                <w:rFonts w:hint="eastAsia" w:ascii="宋体" w:hAnsi="宋体" w:eastAsia="仿宋_GB2312" w:cs="仿宋_GB2312"/>
                <w:sz w:val="24"/>
                <w:szCs w:val="24"/>
                <w:lang w:val="en-US" w:eastAsia="zh-CN"/>
              </w:rPr>
              <w:t>10</w:t>
            </w:r>
          </w:p>
        </w:tc>
        <w:tc>
          <w:tcPr>
            <w:tcW w:w="513" w:type="pct"/>
            <w:noWrap w:val="0"/>
            <w:vAlign w:val="center"/>
          </w:tcPr>
          <w:p w14:paraId="232A1822">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kern w:val="2"/>
                <w:sz w:val="24"/>
                <w:szCs w:val="24"/>
                <w:lang w:val="en-US" w:eastAsia="zh-CN" w:bidi="ar-SA"/>
              </w:rPr>
            </w:pPr>
            <w:r>
              <w:rPr>
                <w:rFonts w:hint="eastAsia" w:ascii="宋体" w:hAnsi="宋体" w:eastAsia="仿宋_GB2312" w:cs="仿宋_GB2312"/>
                <w:sz w:val="24"/>
                <w:szCs w:val="24"/>
                <w:lang w:val="en-US" w:eastAsia="zh-CN"/>
              </w:rPr>
              <w:t>10</w:t>
            </w:r>
          </w:p>
        </w:tc>
      </w:tr>
      <w:tr w14:paraId="482F8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atLeast"/>
          <w:jc w:val="center"/>
        </w:trPr>
        <w:tc>
          <w:tcPr>
            <w:tcW w:w="434" w:type="pct"/>
            <w:noWrap w:val="0"/>
            <w:vAlign w:val="center"/>
          </w:tcPr>
          <w:p w14:paraId="6995BA6B">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0029</w:t>
            </w:r>
          </w:p>
        </w:tc>
        <w:tc>
          <w:tcPr>
            <w:tcW w:w="1821" w:type="pct"/>
            <w:noWrap w:val="0"/>
            <w:vAlign w:val="center"/>
          </w:tcPr>
          <w:p w14:paraId="580A04C6">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基于功能化共价有机骨架（COFs）材料高效去除稀土工业废液中放射性铀的研究</w:t>
            </w:r>
          </w:p>
        </w:tc>
        <w:tc>
          <w:tcPr>
            <w:tcW w:w="709" w:type="pct"/>
            <w:noWrap w:val="0"/>
            <w:vAlign w:val="center"/>
          </w:tcPr>
          <w:p w14:paraId="08AB00C2">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kern w:val="2"/>
                <w:sz w:val="24"/>
                <w:szCs w:val="24"/>
                <w:lang w:val="en-US" w:eastAsia="zh-CN" w:bidi="ar-SA"/>
              </w:rPr>
            </w:pPr>
            <w:r>
              <w:rPr>
                <w:rFonts w:hint="eastAsia" w:ascii="宋体" w:hAnsi="宋体" w:eastAsia="仿宋_GB2312" w:cs="仿宋_GB2312"/>
                <w:sz w:val="24"/>
                <w:szCs w:val="24"/>
                <w:lang w:val="en-US" w:eastAsia="zh-CN"/>
              </w:rPr>
              <w:t>青年人才项目</w:t>
            </w:r>
          </w:p>
        </w:tc>
        <w:tc>
          <w:tcPr>
            <w:tcW w:w="557" w:type="pct"/>
            <w:noWrap w:val="0"/>
            <w:vAlign w:val="center"/>
          </w:tcPr>
          <w:p w14:paraId="1504C780">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454" w:type="pct"/>
            <w:noWrap w:val="0"/>
            <w:vAlign w:val="center"/>
          </w:tcPr>
          <w:p w14:paraId="72845623">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default" w:ascii="宋体" w:hAnsi="宋体" w:eastAsia="仿宋_GB2312" w:cs="仿宋_GB2312"/>
                <w:sz w:val="24"/>
                <w:szCs w:val="24"/>
                <w:lang w:val="en-US" w:eastAsia="zh-CN"/>
              </w:rPr>
              <w:t>牛成鹏</w:t>
            </w:r>
          </w:p>
        </w:tc>
        <w:tc>
          <w:tcPr>
            <w:tcW w:w="510" w:type="pct"/>
            <w:noWrap w:val="0"/>
            <w:vAlign w:val="center"/>
          </w:tcPr>
          <w:p w14:paraId="43CE70DC">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kern w:val="2"/>
                <w:sz w:val="24"/>
                <w:szCs w:val="24"/>
                <w:lang w:val="en-US" w:eastAsia="zh-CN" w:bidi="ar-SA"/>
              </w:rPr>
            </w:pPr>
            <w:r>
              <w:rPr>
                <w:rFonts w:hint="eastAsia" w:ascii="宋体" w:hAnsi="宋体" w:eastAsia="仿宋_GB2312" w:cs="仿宋_GB2312"/>
                <w:sz w:val="24"/>
                <w:szCs w:val="24"/>
                <w:lang w:val="en-US" w:eastAsia="zh-CN"/>
              </w:rPr>
              <w:t>10</w:t>
            </w:r>
          </w:p>
        </w:tc>
        <w:tc>
          <w:tcPr>
            <w:tcW w:w="513" w:type="pct"/>
            <w:noWrap w:val="0"/>
            <w:vAlign w:val="center"/>
          </w:tcPr>
          <w:p w14:paraId="7F28964D">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kern w:val="2"/>
                <w:sz w:val="24"/>
                <w:szCs w:val="24"/>
                <w:lang w:val="en-US" w:eastAsia="zh-CN" w:bidi="ar-SA"/>
              </w:rPr>
            </w:pPr>
            <w:r>
              <w:rPr>
                <w:rFonts w:hint="eastAsia" w:ascii="宋体" w:hAnsi="宋体" w:eastAsia="仿宋_GB2312" w:cs="仿宋_GB2312"/>
                <w:sz w:val="24"/>
                <w:szCs w:val="24"/>
                <w:lang w:val="en-US" w:eastAsia="zh-CN"/>
              </w:rPr>
              <w:t>10</w:t>
            </w:r>
          </w:p>
        </w:tc>
      </w:tr>
      <w:tr w14:paraId="34690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atLeast"/>
          <w:jc w:val="center"/>
        </w:trPr>
        <w:tc>
          <w:tcPr>
            <w:tcW w:w="434" w:type="pct"/>
            <w:noWrap w:val="0"/>
            <w:vAlign w:val="center"/>
          </w:tcPr>
          <w:p w14:paraId="1143FE27">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0030</w:t>
            </w:r>
          </w:p>
        </w:tc>
        <w:tc>
          <w:tcPr>
            <w:tcW w:w="1821" w:type="pct"/>
            <w:noWrap w:val="0"/>
            <w:vAlign w:val="center"/>
          </w:tcPr>
          <w:p w14:paraId="2EB6D29D">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木质素类活性化合物抗肿瘤作用机制研究及纳米递送系统研发</w:t>
            </w:r>
          </w:p>
        </w:tc>
        <w:tc>
          <w:tcPr>
            <w:tcW w:w="709" w:type="pct"/>
            <w:noWrap w:val="0"/>
            <w:vAlign w:val="center"/>
          </w:tcPr>
          <w:p w14:paraId="25671ECA">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kern w:val="2"/>
                <w:sz w:val="24"/>
                <w:szCs w:val="24"/>
                <w:lang w:val="en-US" w:eastAsia="zh-CN" w:bidi="ar-SA"/>
              </w:rPr>
            </w:pPr>
            <w:r>
              <w:rPr>
                <w:rFonts w:hint="eastAsia" w:ascii="宋体" w:hAnsi="宋体" w:eastAsia="仿宋_GB2312" w:cs="仿宋_GB2312"/>
                <w:sz w:val="24"/>
                <w:szCs w:val="24"/>
                <w:lang w:val="en-US" w:eastAsia="zh-CN"/>
              </w:rPr>
              <w:t>青年人才项目</w:t>
            </w:r>
          </w:p>
        </w:tc>
        <w:tc>
          <w:tcPr>
            <w:tcW w:w="557" w:type="pct"/>
            <w:noWrap w:val="0"/>
            <w:vAlign w:val="center"/>
          </w:tcPr>
          <w:p w14:paraId="2CC40EA4">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454" w:type="pct"/>
            <w:noWrap w:val="0"/>
            <w:vAlign w:val="center"/>
          </w:tcPr>
          <w:p w14:paraId="1A302A43">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default" w:ascii="宋体" w:hAnsi="宋体" w:eastAsia="仿宋_GB2312" w:cs="仿宋_GB2312"/>
                <w:sz w:val="24"/>
                <w:szCs w:val="24"/>
                <w:lang w:val="en-US" w:eastAsia="zh-CN"/>
              </w:rPr>
              <w:t>王妍</w:t>
            </w:r>
          </w:p>
        </w:tc>
        <w:tc>
          <w:tcPr>
            <w:tcW w:w="510" w:type="pct"/>
            <w:noWrap w:val="0"/>
            <w:vAlign w:val="center"/>
          </w:tcPr>
          <w:p w14:paraId="1FA9BAF2">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kern w:val="2"/>
                <w:sz w:val="24"/>
                <w:szCs w:val="24"/>
                <w:lang w:val="en-US" w:eastAsia="zh-CN" w:bidi="ar-SA"/>
              </w:rPr>
            </w:pPr>
            <w:r>
              <w:rPr>
                <w:rFonts w:hint="eastAsia" w:ascii="宋体" w:hAnsi="宋体" w:eastAsia="仿宋_GB2312" w:cs="仿宋_GB2312"/>
                <w:sz w:val="24"/>
                <w:szCs w:val="24"/>
                <w:lang w:val="en-US" w:eastAsia="zh-CN"/>
              </w:rPr>
              <w:t>10</w:t>
            </w:r>
          </w:p>
        </w:tc>
        <w:tc>
          <w:tcPr>
            <w:tcW w:w="513" w:type="pct"/>
            <w:noWrap w:val="0"/>
            <w:vAlign w:val="center"/>
          </w:tcPr>
          <w:p w14:paraId="295C981C">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kern w:val="2"/>
                <w:sz w:val="24"/>
                <w:szCs w:val="24"/>
                <w:lang w:val="en-US" w:eastAsia="zh-CN" w:bidi="ar-SA"/>
              </w:rPr>
            </w:pPr>
            <w:r>
              <w:rPr>
                <w:rFonts w:hint="eastAsia" w:ascii="宋体" w:hAnsi="宋体" w:eastAsia="仿宋_GB2312" w:cs="仿宋_GB2312"/>
                <w:sz w:val="24"/>
                <w:szCs w:val="24"/>
                <w:lang w:val="en-US" w:eastAsia="zh-CN"/>
              </w:rPr>
              <w:t>10</w:t>
            </w:r>
          </w:p>
        </w:tc>
      </w:tr>
      <w:tr w14:paraId="183A6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atLeast"/>
          <w:jc w:val="center"/>
        </w:trPr>
        <w:tc>
          <w:tcPr>
            <w:tcW w:w="434" w:type="pct"/>
            <w:noWrap w:val="0"/>
            <w:vAlign w:val="center"/>
          </w:tcPr>
          <w:p w14:paraId="10F0495C">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0031</w:t>
            </w:r>
          </w:p>
        </w:tc>
        <w:tc>
          <w:tcPr>
            <w:tcW w:w="1821" w:type="pct"/>
            <w:noWrap w:val="0"/>
            <w:vAlign w:val="center"/>
          </w:tcPr>
          <w:p w14:paraId="7CECADB3">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拳参正丁醇提取物靶向肠道菌群缓解小鼠结肠炎的作用机制研究</w:t>
            </w:r>
          </w:p>
        </w:tc>
        <w:tc>
          <w:tcPr>
            <w:tcW w:w="709" w:type="pct"/>
            <w:noWrap w:val="0"/>
            <w:vAlign w:val="center"/>
          </w:tcPr>
          <w:p w14:paraId="64E2CF1B">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kern w:val="2"/>
                <w:sz w:val="24"/>
                <w:szCs w:val="24"/>
                <w:lang w:val="en-US" w:eastAsia="zh-CN" w:bidi="ar-SA"/>
              </w:rPr>
            </w:pPr>
            <w:r>
              <w:rPr>
                <w:rFonts w:hint="eastAsia" w:ascii="宋体" w:hAnsi="宋体" w:eastAsia="仿宋_GB2312" w:cs="仿宋_GB2312"/>
                <w:sz w:val="24"/>
                <w:szCs w:val="24"/>
                <w:lang w:val="en-US" w:eastAsia="zh-CN"/>
              </w:rPr>
              <w:t>青年人才项目</w:t>
            </w:r>
          </w:p>
        </w:tc>
        <w:tc>
          <w:tcPr>
            <w:tcW w:w="557" w:type="pct"/>
            <w:noWrap w:val="0"/>
            <w:vAlign w:val="center"/>
          </w:tcPr>
          <w:p w14:paraId="0C23389E">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454" w:type="pct"/>
            <w:noWrap w:val="0"/>
            <w:vAlign w:val="center"/>
          </w:tcPr>
          <w:p w14:paraId="271703C5">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default" w:ascii="宋体" w:hAnsi="宋体" w:eastAsia="仿宋_GB2312" w:cs="仿宋_GB2312"/>
                <w:sz w:val="24"/>
                <w:szCs w:val="24"/>
                <w:lang w:val="en-US" w:eastAsia="zh-CN"/>
              </w:rPr>
              <w:t>陈涛</w:t>
            </w:r>
          </w:p>
        </w:tc>
        <w:tc>
          <w:tcPr>
            <w:tcW w:w="510" w:type="pct"/>
            <w:noWrap w:val="0"/>
            <w:vAlign w:val="center"/>
          </w:tcPr>
          <w:p w14:paraId="455D4B6F">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kern w:val="2"/>
                <w:sz w:val="24"/>
                <w:szCs w:val="24"/>
                <w:lang w:val="en-US" w:eastAsia="zh-CN" w:bidi="ar-SA"/>
              </w:rPr>
            </w:pPr>
            <w:r>
              <w:rPr>
                <w:rFonts w:hint="eastAsia" w:ascii="宋体" w:hAnsi="宋体" w:eastAsia="仿宋_GB2312" w:cs="仿宋_GB2312"/>
                <w:sz w:val="24"/>
                <w:szCs w:val="24"/>
                <w:lang w:val="en-US" w:eastAsia="zh-CN"/>
              </w:rPr>
              <w:t>10</w:t>
            </w:r>
          </w:p>
        </w:tc>
        <w:tc>
          <w:tcPr>
            <w:tcW w:w="513" w:type="pct"/>
            <w:noWrap w:val="0"/>
            <w:vAlign w:val="center"/>
          </w:tcPr>
          <w:p w14:paraId="05BBF526">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kern w:val="2"/>
                <w:sz w:val="24"/>
                <w:szCs w:val="24"/>
                <w:lang w:val="en-US" w:eastAsia="zh-CN" w:bidi="ar-SA"/>
              </w:rPr>
            </w:pPr>
            <w:r>
              <w:rPr>
                <w:rFonts w:hint="eastAsia" w:ascii="宋体" w:hAnsi="宋体" w:eastAsia="仿宋_GB2312" w:cs="仿宋_GB2312"/>
                <w:sz w:val="24"/>
                <w:szCs w:val="24"/>
                <w:lang w:val="en-US" w:eastAsia="zh-CN"/>
              </w:rPr>
              <w:t>10</w:t>
            </w:r>
          </w:p>
        </w:tc>
      </w:tr>
      <w:tr w14:paraId="3855C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atLeast"/>
          <w:jc w:val="center"/>
        </w:trPr>
        <w:tc>
          <w:tcPr>
            <w:tcW w:w="434" w:type="pct"/>
            <w:noWrap w:val="0"/>
            <w:vAlign w:val="center"/>
          </w:tcPr>
          <w:p w14:paraId="214C21B5">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0032</w:t>
            </w:r>
          </w:p>
        </w:tc>
        <w:tc>
          <w:tcPr>
            <w:tcW w:w="1821" w:type="pct"/>
            <w:noWrap w:val="0"/>
            <w:vAlign w:val="center"/>
          </w:tcPr>
          <w:p w14:paraId="55B714F6">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基于UCP2靶点的京尼平衍生物的设计、合成及抗阿尔茨海默病活性研究</w:t>
            </w:r>
          </w:p>
        </w:tc>
        <w:tc>
          <w:tcPr>
            <w:tcW w:w="709" w:type="pct"/>
            <w:noWrap w:val="0"/>
            <w:vAlign w:val="center"/>
          </w:tcPr>
          <w:p w14:paraId="3B355C2A">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kern w:val="2"/>
                <w:sz w:val="24"/>
                <w:szCs w:val="24"/>
                <w:lang w:val="en-US" w:eastAsia="zh-CN" w:bidi="ar-SA"/>
              </w:rPr>
            </w:pPr>
            <w:r>
              <w:rPr>
                <w:rFonts w:hint="eastAsia" w:ascii="宋体" w:hAnsi="宋体" w:eastAsia="仿宋_GB2312" w:cs="仿宋_GB2312"/>
                <w:sz w:val="24"/>
                <w:szCs w:val="24"/>
                <w:lang w:val="en-US" w:eastAsia="zh-CN"/>
              </w:rPr>
              <w:t>青年人才项目</w:t>
            </w:r>
          </w:p>
        </w:tc>
        <w:tc>
          <w:tcPr>
            <w:tcW w:w="557" w:type="pct"/>
            <w:noWrap w:val="0"/>
            <w:vAlign w:val="center"/>
          </w:tcPr>
          <w:p w14:paraId="5512F8D1">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454" w:type="pct"/>
            <w:noWrap w:val="0"/>
            <w:vAlign w:val="center"/>
          </w:tcPr>
          <w:p w14:paraId="7400AF26">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default" w:ascii="宋体" w:hAnsi="宋体" w:eastAsia="仿宋_GB2312" w:cs="仿宋_GB2312"/>
                <w:sz w:val="24"/>
                <w:szCs w:val="24"/>
                <w:lang w:val="en-US" w:eastAsia="zh-CN"/>
              </w:rPr>
              <w:t>申福葵</w:t>
            </w:r>
          </w:p>
        </w:tc>
        <w:tc>
          <w:tcPr>
            <w:tcW w:w="510" w:type="pct"/>
            <w:noWrap w:val="0"/>
            <w:vAlign w:val="center"/>
          </w:tcPr>
          <w:p w14:paraId="35431EBE">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513" w:type="pct"/>
            <w:noWrap w:val="0"/>
            <w:vAlign w:val="center"/>
          </w:tcPr>
          <w:p w14:paraId="51AC87F7">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bl>
    <w:p w14:paraId="2372E247">
      <w:pPr>
        <w:pStyle w:val="2"/>
        <w:rPr>
          <w:rFonts w:hint="eastAsia"/>
          <w:b/>
          <w:bCs/>
          <w:lang w:val="en-US" w:eastAsia="zh-CN"/>
        </w:rPr>
        <w:sectPr>
          <w:pgSz w:w="16838" w:h="11906" w:orient="landscape"/>
          <w:pgMar w:top="1406" w:right="1440" w:bottom="1406" w:left="1440" w:header="851" w:footer="992" w:gutter="0"/>
          <w:cols w:space="720" w:num="1"/>
          <w:docGrid w:type="lines" w:linePitch="312" w:charSpace="0"/>
        </w:sectPr>
      </w:pPr>
      <w:bookmarkStart w:id="0" w:name="_GoBack"/>
      <w:bookmarkEnd w:id="0"/>
    </w:p>
    <w:p w14:paraId="47EE8BDF">
      <w:pPr>
        <w:numPr>
          <w:ilvl w:val="0"/>
          <w:numId w:val="0"/>
        </w:numPr>
        <w:jc w:val="center"/>
        <w:rPr>
          <w:rFonts w:hint="default"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eastAsia="zh-CN"/>
        </w:rPr>
        <w:t>二、</w:t>
      </w:r>
      <w:r>
        <w:rPr>
          <w:rFonts w:hint="eastAsia" w:ascii="楷体_GB2312" w:hAnsi="楷体_GB2312" w:eastAsia="楷体_GB2312" w:cs="楷体_GB2312"/>
          <w:b/>
          <w:bCs/>
          <w:sz w:val="32"/>
          <w:szCs w:val="32"/>
          <w:lang w:val="en-US" w:eastAsia="zh-CN"/>
        </w:rPr>
        <w:t>赣南医科大学第一附属医院龙南医院</w:t>
      </w:r>
    </w:p>
    <w:tbl>
      <w:tblPr>
        <w:tblStyle w:val="3"/>
        <w:tblW w:w="43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2"/>
        <w:gridCol w:w="4539"/>
        <w:gridCol w:w="1767"/>
        <w:gridCol w:w="1388"/>
        <w:gridCol w:w="1132"/>
        <w:gridCol w:w="1271"/>
        <w:gridCol w:w="1280"/>
      </w:tblGrid>
      <w:tr w14:paraId="36AE8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blHeader/>
          <w:jc w:val="center"/>
        </w:trPr>
        <w:tc>
          <w:tcPr>
            <w:tcW w:w="434" w:type="pct"/>
            <w:noWrap w:val="0"/>
            <w:vAlign w:val="center"/>
          </w:tcPr>
          <w:p w14:paraId="6326DD33">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序号</w:t>
            </w:r>
          </w:p>
        </w:tc>
        <w:tc>
          <w:tcPr>
            <w:tcW w:w="1821" w:type="pct"/>
            <w:noWrap w:val="0"/>
            <w:vAlign w:val="center"/>
          </w:tcPr>
          <w:p w14:paraId="1D0A1BDC">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黑体" w:hAnsi="黑体" w:eastAsia="黑体" w:cs="黑体"/>
                <w:b w:val="0"/>
                <w:bCs/>
                <w:sz w:val="24"/>
                <w:szCs w:val="24"/>
              </w:rPr>
            </w:pPr>
            <w:r>
              <w:rPr>
                <w:rFonts w:hint="eastAsia" w:ascii="黑体" w:hAnsi="黑体" w:eastAsia="黑体" w:cs="黑体"/>
                <w:b w:val="0"/>
                <w:bCs/>
                <w:sz w:val="24"/>
                <w:szCs w:val="24"/>
              </w:rPr>
              <w:t>项目名称</w:t>
            </w:r>
          </w:p>
        </w:tc>
        <w:tc>
          <w:tcPr>
            <w:tcW w:w="709" w:type="pct"/>
            <w:noWrap w:val="0"/>
            <w:vAlign w:val="center"/>
          </w:tcPr>
          <w:p w14:paraId="5D5AD595">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黑体" w:hAnsi="黑体" w:eastAsia="黑体" w:cs="黑体"/>
                <w:b w:val="0"/>
                <w:bCs/>
                <w:sz w:val="24"/>
                <w:szCs w:val="24"/>
                <w:lang w:eastAsia="zh-CN"/>
              </w:rPr>
            </w:pPr>
            <w:r>
              <w:rPr>
                <w:rFonts w:hint="eastAsia" w:ascii="黑体" w:hAnsi="黑体" w:eastAsia="黑体" w:cs="黑体"/>
                <w:b w:val="0"/>
                <w:bCs/>
                <w:sz w:val="24"/>
                <w:szCs w:val="24"/>
                <w:lang w:eastAsia="zh-CN"/>
              </w:rPr>
              <w:t>专项</w:t>
            </w:r>
          </w:p>
          <w:p w14:paraId="25511112">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黑体" w:hAnsi="黑体" w:eastAsia="黑体" w:cs="黑体"/>
                <w:b w:val="0"/>
                <w:bCs/>
                <w:sz w:val="24"/>
                <w:szCs w:val="24"/>
                <w:lang w:eastAsia="zh-CN"/>
              </w:rPr>
            </w:pPr>
            <w:r>
              <w:rPr>
                <w:rFonts w:hint="eastAsia" w:ascii="黑体" w:hAnsi="黑体" w:eastAsia="黑体" w:cs="黑体"/>
                <w:b w:val="0"/>
                <w:bCs/>
                <w:sz w:val="24"/>
                <w:szCs w:val="24"/>
                <w:lang w:eastAsia="zh-CN"/>
              </w:rPr>
              <w:t>类别</w:t>
            </w:r>
          </w:p>
        </w:tc>
        <w:tc>
          <w:tcPr>
            <w:tcW w:w="557" w:type="pct"/>
            <w:noWrap w:val="0"/>
            <w:vAlign w:val="center"/>
          </w:tcPr>
          <w:p w14:paraId="2B0605EF">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黑体" w:hAnsi="黑体" w:eastAsia="黑体" w:cs="黑体"/>
                <w:b w:val="0"/>
                <w:bCs/>
                <w:sz w:val="24"/>
                <w:szCs w:val="24"/>
              </w:rPr>
            </w:pPr>
            <w:r>
              <w:rPr>
                <w:rFonts w:hint="eastAsia" w:ascii="黑体" w:hAnsi="黑体" w:eastAsia="黑体" w:cs="黑体"/>
                <w:b w:val="0"/>
                <w:bCs/>
                <w:sz w:val="24"/>
                <w:szCs w:val="24"/>
              </w:rPr>
              <w:t>主管部门</w:t>
            </w:r>
          </w:p>
        </w:tc>
        <w:tc>
          <w:tcPr>
            <w:tcW w:w="454" w:type="pct"/>
            <w:noWrap w:val="0"/>
            <w:vAlign w:val="center"/>
          </w:tcPr>
          <w:p w14:paraId="41BE3E0C">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项目</w:t>
            </w:r>
          </w:p>
          <w:p w14:paraId="4A2427A1">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负责人</w:t>
            </w:r>
          </w:p>
        </w:tc>
        <w:tc>
          <w:tcPr>
            <w:tcW w:w="510" w:type="pct"/>
            <w:noWrap w:val="0"/>
            <w:vAlign w:val="center"/>
          </w:tcPr>
          <w:p w14:paraId="135C0D67">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项目经费</w:t>
            </w:r>
          </w:p>
          <w:p w14:paraId="2824877F">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w:t>
            </w:r>
            <w:r>
              <w:rPr>
                <w:rFonts w:hint="eastAsia" w:ascii="黑体" w:hAnsi="黑体" w:eastAsia="黑体" w:cs="黑体"/>
                <w:b w:val="0"/>
                <w:bCs/>
                <w:sz w:val="24"/>
                <w:szCs w:val="24"/>
              </w:rPr>
              <w:t>万元</w:t>
            </w:r>
            <w:r>
              <w:rPr>
                <w:rFonts w:hint="eastAsia" w:ascii="黑体" w:hAnsi="黑体" w:eastAsia="黑体" w:cs="黑体"/>
                <w:b w:val="0"/>
                <w:bCs/>
                <w:sz w:val="24"/>
                <w:szCs w:val="24"/>
                <w:lang w:val="en-US" w:eastAsia="zh-CN"/>
              </w:rPr>
              <w:t>）</w:t>
            </w:r>
          </w:p>
        </w:tc>
        <w:tc>
          <w:tcPr>
            <w:tcW w:w="513" w:type="pct"/>
            <w:noWrap w:val="0"/>
            <w:vAlign w:val="center"/>
          </w:tcPr>
          <w:p w14:paraId="6043503C">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单位自筹</w:t>
            </w:r>
            <w:r>
              <w:rPr>
                <w:rFonts w:hint="eastAsia" w:ascii="黑体" w:hAnsi="黑体" w:eastAsia="黑体" w:cs="黑体"/>
                <w:b w:val="0"/>
                <w:bCs/>
                <w:sz w:val="22"/>
                <w:szCs w:val="22"/>
                <w:lang w:val="en-US" w:eastAsia="zh-CN"/>
              </w:rPr>
              <w:t>（万元</w:t>
            </w:r>
            <w:r>
              <w:rPr>
                <w:rFonts w:hint="eastAsia" w:ascii="黑体" w:hAnsi="黑体" w:eastAsia="黑体" w:cs="黑体"/>
                <w:b w:val="0"/>
                <w:bCs/>
                <w:sz w:val="24"/>
                <w:szCs w:val="24"/>
                <w:lang w:val="en-US" w:eastAsia="zh-CN"/>
              </w:rPr>
              <w:t>）</w:t>
            </w:r>
          </w:p>
        </w:tc>
      </w:tr>
      <w:tr w14:paraId="7C998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3" w:hRule="atLeast"/>
          <w:jc w:val="center"/>
        </w:trPr>
        <w:tc>
          <w:tcPr>
            <w:tcW w:w="434" w:type="pct"/>
            <w:noWrap w:val="0"/>
            <w:vAlign w:val="center"/>
          </w:tcPr>
          <w:p w14:paraId="1F0025A8">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宋体" w:cs="宋体"/>
                <w:i w:val="0"/>
                <w:iCs w:val="0"/>
                <w:color w:val="000000"/>
                <w:kern w:val="0"/>
                <w:sz w:val="22"/>
                <w:szCs w:val="22"/>
                <w:u w:val="none"/>
                <w:lang w:val="en-US" w:eastAsia="zh-CN" w:bidi="ar"/>
              </w:rPr>
              <w:t>0001</w:t>
            </w:r>
          </w:p>
        </w:tc>
        <w:tc>
          <w:tcPr>
            <w:tcW w:w="1821" w:type="pct"/>
            <w:noWrap w:val="0"/>
            <w:vAlign w:val="center"/>
          </w:tcPr>
          <w:p w14:paraId="0DEEE6AD">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基于人机交互的智能微创手术器械系统研发</w:t>
            </w:r>
          </w:p>
        </w:tc>
        <w:tc>
          <w:tcPr>
            <w:tcW w:w="709" w:type="pct"/>
            <w:noWrap w:val="0"/>
            <w:vAlign w:val="center"/>
          </w:tcPr>
          <w:p w14:paraId="1FE9D04F">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重点项目</w:t>
            </w:r>
          </w:p>
        </w:tc>
        <w:tc>
          <w:tcPr>
            <w:tcW w:w="557" w:type="pct"/>
            <w:noWrap w:val="0"/>
            <w:vAlign w:val="center"/>
          </w:tcPr>
          <w:p w14:paraId="2DB432A3">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454" w:type="pct"/>
            <w:noWrap w:val="0"/>
            <w:vAlign w:val="center"/>
          </w:tcPr>
          <w:p w14:paraId="02DC5805">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赖余柱</w:t>
            </w:r>
          </w:p>
        </w:tc>
        <w:tc>
          <w:tcPr>
            <w:tcW w:w="510" w:type="pct"/>
            <w:noWrap w:val="0"/>
            <w:vAlign w:val="center"/>
          </w:tcPr>
          <w:p w14:paraId="5512D715">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30</w:t>
            </w:r>
          </w:p>
        </w:tc>
        <w:tc>
          <w:tcPr>
            <w:tcW w:w="513" w:type="pct"/>
            <w:noWrap w:val="0"/>
            <w:vAlign w:val="center"/>
          </w:tcPr>
          <w:p w14:paraId="0FAAC3F1">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30</w:t>
            </w:r>
          </w:p>
        </w:tc>
      </w:tr>
      <w:tr w14:paraId="27730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434" w:type="pct"/>
            <w:noWrap w:val="0"/>
            <w:vAlign w:val="center"/>
          </w:tcPr>
          <w:p w14:paraId="5B51DA8F">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宋体" w:cs="宋体"/>
                <w:i w:val="0"/>
                <w:iCs w:val="0"/>
                <w:color w:val="000000"/>
                <w:kern w:val="0"/>
                <w:sz w:val="22"/>
                <w:szCs w:val="22"/>
                <w:u w:val="none"/>
                <w:lang w:val="en-US" w:eastAsia="zh-CN" w:bidi="ar"/>
              </w:rPr>
              <w:t>0002</w:t>
            </w:r>
          </w:p>
        </w:tc>
        <w:tc>
          <w:tcPr>
            <w:tcW w:w="1821" w:type="pct"/>
            <w:noWrap w:val="0"/>
            <w:vAlign w:val="center"/>
          </w:tcPr>
          <w:p w14:paraId="5AF08694">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InCRNAAABRO7033编码多肽调控脑微血管内皮细胞焦亡参与DHCA脑损伤的作用机制研究</w:t>
            </w:r>
          </w:p>
        </w:tc>
        <w:tc>
          <w:tcPr>
            <w:tcW w:w="709" w:type="pct"/>
            <w:noWrap w:val="0"/>
            <w:vAlign w:val="center"/>
          </w:tcPr>
          <w:p w14:paraId="7C802D89">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重点项目</w:t>
            </w:r>
          </w:p>
        </w:tc>
        <w:tc>
          <w:tcPr>
            <w:tcW w:w="557" w:type="pct"/>
            <w:noWrap w:val="0"/>
            <w:vAlign w:val="center"/>
          </w:tcPr>
          <w:p w14:paraId="2D531021">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454" w:type="pct"/>
            <w:noWrap w:val="0"/>
            <w:vAlign w:val="center"/>
          </w:tcPr>
          <w:p w14:paraId="4C7A28CA">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钟日祥</w:t>
            </w:r>
          </w:p>
        </w:tc>
        <w:tc>
          <w:tcPr>
            <w:tcW w:w="510" w:type="pct"/>
            <w:noWrap w:val="0"/>
            <w:vAlign w:val="center"/>
          </w:tcPr>
          <w:p w14:paraId="0B6FDBCC">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30</w:t>
            </w:r>
          </w:p>
        </w:tc>
        <w:tc>
          <w:tcPr>
            <w:tcW w:w="513" w:type="pct"/>
            <w:noWrap w:val="0"/>
            <w:vAlign w:val="center"/>
          </w:tcPr>
          <w:p w14:paraId="3EFF4AA8">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30</w:t>
            </w:r>
          </w:p>
        </w:tc>
      </w:tr>
      <w:tr w14:paraId="3ACB6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atLeast"/>
          <w:jc w:val="center"/>
        </w:trPr>
        <w:tc>
          <w:tcPr>
            <w:tcW w:w="434" w:type="pct"/>
            <w:noWrap w:val="0"/>
            <w:vAlign w:val="center"/>
          </w:tcPr>
          <w:p w14:paraId="3C907D93">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r>
              <w:rPr>
                <w:rFonts w:hint="eastAsia" w:ascii="宋体" w:hAnsi="宋体" w:cs="宋体"/>
                <w:i w:val="0"/>
                <w:iCs w:val="0"/>
                <w:color w:val="000000"/>
                <w:kern w:val="0"/>
                <w:sz w:val="22"/>
                <w:szCs w:val="22"/>
                <w:u w:val="none"/>
                <w:lang w:val="en-US" w:eastAsia="zh-CN" w:bidi="ar"/>
              </w:rPr>
              <w:t>3</w:t>
            </w:r>
          </w:p>
        </w:tc>
        <w:tc>
          <w:tcPr>
            <w:tcW w:w="1821" w:type="pct"/>
            <w:noWrap w:val="0"/>
            <w:vAlign w:val="center"/>
          </w:tcPr>
          <w:p w14:paraId="71E54F67">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default" w:ascii="宋体" w:hAnsi="宋体" w:eastAsia="仿宋_GB2312" w:cs="仿宋_GB2312"/>
                <w:sz w:val="24"/>
                <w:szCs w:val="24"/>
                <w:lang w:val="en-US" w:eastAsia="zh-CN"/>
              </w:rPr>
              <w:t>肺腺癌脑膜转移患者鞘内注射培美曲塞的脑脊液–血浆药代动力学特征与稀疏采样群体建模</w:t>
            </w:r>
          </w:p>
        </w:tc>
        <w:tc>
          <w:tcPr>
            <w:tcW w:w="709" w:type="pct"/>
            <w:noWrap w:val="0"/>
            <w:vAlign w:val="center"/>
          </w:tcPr>
          <w:p w14:paraId="6B269376">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一般项目</w:t>
            </w:r>
          </w:p>
        </w:tc>
        <w:tc>
          <w:tcPr>
            <w:tcW w:w="557" w:type="pct"/>
            <w:noWrap w:val="0"/>
            <w:vAlign w:val="center"/>
          </w:tcPr>
          <w:p w14:paraId="436B8C3D">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454" w:type="pct"/>
            <w:noWrap w:val="0"/>
            <w:vAlign w:val="center"/>
          </w:tcPr>
          <w:p w14:paraId="11B77D50">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default" w:ascii="宋体" w:hAnsi="宋体" w:eastAsia="仿宋_GB2312" w:cs="仿宋_GB2312"/>
                <w:sz w:val="24"/>
                <w:szCs w:val="24"/>
                <w:lang w:val="en-US" w:eastAsia="zh-CN"/>
              </w:rPr>
              <w:t>陈俊星</w:t>
            </w:r>
          </w:p>
        </w:tc>
        <w:tc>
          <w:tcPr>
            <w:tcW w:w="510" w:type="pct"/>
            <w:noWrap w:val="0"/>
            <w:vAlign w:val="center"/>
          </w:tcPr>
          <w:p w14:paraId="48D89F76">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513" w:type="pct"/>
            <w:noWrap w:val="0"/>
            <w:vAlign w:val="center"/>
          </w:tcPr>
          <w:p w14:paraId="2EE3BE06">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71A48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89" w:hRule="atLeast"/>
          <w:jc w:val="center"/>
        </w:trPr>
        <w:tc>
          <w:tcPr>
            <w:tcW w:w="434" w:type="pct"/>
            <w:noWrap w:val="0"/>
            <w:vAlign w:val="center"/>
          </w:tcPr>
          <w:p w14:paraId="2990AD40">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宋体" w:cs="宋体"/>
                <w:i w:val="0"/>
                <w:iCs w:val="0"/>
                <w:color w:val="000000"/>
                <w:kern w:val="0"/>
                <w:sz w:val="22"/>
                <w:szCs w:val="22"/>
                <w:u w:val="none"/>
                <w:lang w:val="en-US" w:eastAsia="zh-CN" w:bidi="ar"/>
              </w:rPr>
              <w:t>000</w:t>
            </w:r>
            <w:r>
              <w:rPr>
                <w:rFonts w:hint="eastAsia" w:ascii="宋体" w:hAnsi="宋体" w:cs="宋体"/>
                <w:i w:val="0"/>
                <w:iCs w:val="0"/>
                <w:color w:val="000000"/>
                <w:kern w:val="0"/>
                <w:sz w:val="22"/>
                <w:szCs w:val="22"/>
                <w:u w:val="none"/>
                <w:lang w:val="en-US" w:eastAsia="zh-CN" w:bidi="ar"/>
              </w:rPr>
              <w:t>4</w:t>
            </w:r>
          </w:p>
        </w:tc>
        <w:tc>
          <w:tcPr>
            <w:tcW w:w="1821" w:type="pct"/>
            <w:noWrap w:val="0"/>
            <w:vAlign w:val="center"/>
          </w:tcPr>
          <w:p w14:paraId="252FB28B">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甲状旁腺旁腺功能亢进患者手术与非手术治疗对尿毒症患者疗效分析</w:t>
            </w:r>
          </w:p>
        </w:tc>
        <w:tc>
          <w:tcPr>
            <w:tcW w:w="709" w:type="pct"/>
            <w:noWrap w:val="0"/>
            <w:vAlign w:val="center"/>
          </w:tcPr>
          <w:p w14:paraId="46733CE9">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一般项目</w:t>
            </w:r>
          </w:p>
        </w:tc>
        <w:tc>
          <w:tcPr>
            <w:tcW w:w="557" w:type="pct"/>
            <w:noWrap w:val="0"/>
            <w:vAlign w:val="center"/>
          </w:tcPr>
          <w:p w14:paraId="416AB9F0">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454" w:type="pct"/>
            <w:noWrap w:val="0"/>
            <w:vAlign w:val="center"/>
          </w:tcPr>
          <w:p w14:paraId="6314D1E1">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何燕珍</w:t>
            </w:r>
          </w:p>
        </w:tc>
        <w:tc>
          <w:tcPr>
            <w:tcW w:w="510" w:type="pct"/>
            <w:noWrap w:val="0"/>
            <w:vAlign w:val="center"/>
          </w:tcPr>
          <w:p w14:paraId="392EE34A">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kern w:val="2"/>
                <w:sz w:val="24"/>
                <w:szCs w:val="24"/>
                <w:lang w:val="en-US" w:eastAsia="zh-CN" w:bidi="ar-SA"/>
              </w:rPr>
            </w:pPr>
            <w:r>
              <w:rPr>
                <w:rFonts w:hint="eastAsia" w:ascii="宋体" w:hAnsi="宋体" w:eastAsia="仿宋_GB2312" w:cs="仿宋_GB2312"/>
                <w:sz w:val="24"/>
                <w:szCs w:val="24"/>
                <w:lang w:val="en-US" w:eastAsia="zh-CN"/>
              </w:rPr>
              <w:t>10</w:t>
            </w:r>
          </w:p>
        </w:tc>
        <w:tc>
          <w:tcPr>
            <w:tcW w:w="513" w:type="pct"/>
            <w:noWrap w:val="0"/>
            <w:vAlign w:val="center"/>
          </w:tcPr>
          <w:p w14:paraId="31945754">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kern w:val="2"/>
                <w:sz w:val="24"/>
                <w:szCs w:val="24"/>
                <w:lang w:val="en-US" w:eastAsia="zh-CN" w:bidi="ar-SA"/>
              </w:rPr>
            </w:pPr>
            <w:r>
              <w:rPr>
                <w:rFonts w:hint="eastAsia" w:ascii="宋体" w:hAnsi="宋体" w:eastAsia="仿宋_GB2312" w:cs="仿宋_GB2312"/>
                <w:sz w:val="24"/>
                <w:szCs w:val="24"/>
                <w:lang w:val="en-US" w:eastAsia="zh-CN"/>
              </w:rPr>
              <w:t>10</w:t>
            </w:r>
          </w:p>
        </w:tc>
      </w:tr>
      <w:tr w14:paraId="7C8A8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9" w:hRule="atLeast"/>
          <w:jc w:val="center"/>
        </w:trPr>
        <w:tc>
          <w:tcPr>
            <w:tcW w:w="434" w:type="pct"/>
            <w:noWrap w:val="0"/>
            <w:vAlign w:val="center"/>
          </w:tcPr>
          <w:p w14:paraId="618D9A12">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宋体" w:cs="宋体"/>
                <w:i w:val="0"/>
                <w:iCs w:val="0"/>
                <w:color w:val="000000"/>
                <w:kern w:val="0"/>
                <w:sz w:val="22"/>
                <w:szCs w:val="22"/>
                <w:u w:val="none"/>
                <w:lang w:val="en-US" w:eastAsia="zh-CN" w:bidi="ar"/>
              </w:rPr>
              <w:t>000</w:t>
            </w:r>
            <w:r>
              <w:rPr>
                <w:rFonts w:hint="eastAsia" w:ascii="宋体" w:hAnsi="宋体" w:cs="宋体"/>
                <w:i w:val="0"/>
                <w:iCs w:val="0"/>
                <w:color w:val="000000"/>
                <w:kern w:val="0"/>
                <w:sz w:val="22"/>
                <w:szCs w:val="22"/>
                <w:u w:val="none"/>
                <w:lang w:val="en-US" w:eastAsia="zh-CN" w:bidi="ar"/>
              </w:rPr>
              <w:t>5</w:t>
            </w:r>
          </w:p>
        </w:tc>
        <w:tc>
          <w:tcPr>
            <w:tcW w:w="1821" w:type="pct"/>
            <w:noWrap w:val="0"/>
            <w:vAlign w:val="center"/>
          </w:tcPr>
          <w:p w14:paraId="06F82C0E">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颅内动脉瘤患者血管内介入术后发生认知功能障碍的危险因素分析及预测模型构建</w:t>
            </w:r>
          </w:p>
        </w:tc>
        <w:tc>
          <w:tcPr>
            <w:tcW w:w="709" w:type="pct"/>
            <w:noWrap w:val="0"/>
            <w:vAlign w:val="center"/>
          </w:tcPr>
          <w:p w14:paraId="5659045A">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一般项目</w:t>
            </w:r>
          </w:p>
        </w:tc>
        <w:tc>
          <w:tcPr>
            <w:tcW w:w="557" w:type="pct"/>
            <w:noWrap w:val="0"/>
            <w:vAlign w:val="center"/>
          </w:tcPr>
          <w:p w14:paraId="7BB3F635">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454" w:type="pct"/>
            <w:noWrap w:val="0"/>
            <w:vAlign w:val="center"/>
          </w:tcPr>
          <w:p w14:paraId="49F7132E">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徐尉升</w:t>
            </w:r>
          </w:p>
        </w:tc>
        <w:tc>
          <w:tcPr>
            <w:tcW w:w="510" w:type="pct"/>
            <w:noWrap w:val="0"/>
            <w:vAlign w:val="center"/>
          </w:tcPr>
          <w:p w14:paraId="51A6515A">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kern w:val="2"/>
                <w:sz w:val="24"/>
                <w:szCs w:val="24"/>
                <w:lang w:val="en-US" w:eastAsia="zh-CN" w:bidi="ar-SA"/>
              </w:rPr>
            </w:pPr>
            <w:r>
              <w:rPr>
                <w:rFonts w:hint="eastAsia" w:ascii="宋体" w:hAnsi="宋体" w:eastAsia="仿宋_GB2312" w:cs="仿宋_GB2312"/>
                <w:sz w:val="24"/>
                <w:szCs w:val="24"/>
                <w:lang w:val="en-US" w:eastAsia="zh-CN"/>
              </w:rPr>
              <w:t>10</w:t>
            </w:r>
          </w:p>
        </w:tc>
        <w:tc>
          <w:tcPr>
            <w:tcW w:w="513" w:type="pct"/>
            <w:noWrap w:val="0"/>
            <w:vAlign w:val="center"/>
          </w:tcPr>
          <w:p w14:paraId="4CE50C01">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kern w:val="2"/>
                <w:sz w:val="24"/>
                <w:szCs w:val="24"/>
                <w:lang w:val="en-US" w:eastAsia="zh-CN" w:bidi="ar-SA"/>
              </w:rPr>
            </w:pPr>
            <w:r>
              <w:rPr>
                <w:rFonts w:hint="eastAsia" w:ascii="宋体" w:hAnsi="宋体" w:eastAsia="仿宋_GB2312" w:cs="仿宋_GB2312"/>
                <w:sz w:val="24"/>
                <w:szCs w:val="24"/>
                <w:lang w:val="en-US" w:eastAsia="zh-CN"/>
              </w:rPr>
              <w:t>10</w:t>
            </w:r>
          </w:p>
        </w:tc>
      </w:tr>
      <w:tr w14:paraId="7BF09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434" w:type="pct"/>
            <w:noWrap w:val="0"/>
            <w:vAlign w:val="center"/>
          </w:tcPr>
          <w:p w14:paraId="3C82DE49">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宋体" w:cs="宋体"/>
                <w:i w:val="0"/>
                <w:iCs w:val="0"/>
                <w:color w:val="000000"/>
                <w:kern w:val="0"/>
                <w:sz w:val="22"/>
                <w:szCs w:val="22"/>
                <w:u w:val="none"/>
                <w:lang w:val="en-US" w:eastAsia="zh-CN" w:bidi="ar"/>
              </w:rPr>
              <w:t>000</w:t>
            </w:r>
            <w:r>
              <w:rPr>
                <w:rFonts w:hint="eastAsia" w:ascii="宋体" w:hAnsi="宋体" w:cs="宋体"/>
                <w:i w:val="0"/>
                <w:iCs w:val="0"/>
                <w:color w:val="000000"/>
                <w:kern w:val="0"/>
                <w:sz w:val="22"/>
                <w:szCs w:val="22"/>
                <w:u w:val="none"/>
                <w:lang w:val="en-US" w:eastAsia="zh-CN" w:bidi="ar"/>
              </w:rPr>
              <w:t>6</w:t>
            </w:r>
          </w:p>
        </w:tc>
        <w:tc>
          <w:tcPr>
            <w:tcW w:w="1821" w:type="pct"/>
            <w:noWrap w:val="0"/>
            <w:vAlign w:val="center"/>
          </w:tcPr>
          <w:p w14:paraId="235D8233">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经桡动脉与经股动脉入路在脑血管造影中的应用差异：系统评价与荟萃分析</w:t>
            </w:r>
          </w:p>
        </w:tc>
        <w:tc>
          <w:tcPr>
            <w:tcW w:w="709" w:type="pct"/>
            <w:noWrap w:val="0"/>
            <w:vAlign w:val="center"/>
          </w:tcPr>
          <w:p w14:paraId="2783DA7A">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一般项目</w:t>
            </w:r>
          </w:p>
        </w:tc>
        <w:tc>
          <w:tcPr>
            <w:tcW w:w="557" w:type="pct"/>
            <w:noWrap w:val="0"/>
            <w:vAlign w:val="center"/>
          </w:tcPr>
          <w:p w14:paraId="46ED801D">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454" w:type="pct"/>
            <w:noWrap w:val="0"/>
            <w:vAlign w:val="center"/>
          </w:tcPr>
          <w:p w14:paraId="6D7165D7">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廖秋玲</w:t>
            </w:r>
          </w:p>
        </w:tc>
        <w:tc>
          <w:tcPr>
            <w:tcW w:w="510" w:type="pct"/>
            <w:noWrap w:val="0"/>
            <w:vAlign w:val="center"/>
          </w:tcPr>
          <w:p w14:paraId="74B8C485">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kern w:val="2"/>
                <w:sz w:val="24"/>
                <w:szCs w:val="24"/>
                <w:lang w:val="en-US" w:eastAsia="zh-CN" w:bidi="ar-SA"/>
              </w:rPr>
            </w:pPr>
            <w:r>
              <w:rPr>
                <w:rFonts w:hint="eastAsia" w:ascii="宋体" w:hAnsi="宋体" w:eastAsia="仿宋_GB2312" w:cs="仿宋_GB2312"/>
                <w:sz w:val="24"/>
                <w:szCs w:val="24"/>
                <w:lang w:val="en-US" w:eastAsia="zh-CN"/>
              </w:rPr>
              <w:t>10</w:t>
            </w:r>
          </w:p>
        </w:tc>
        <w:tc>
          <w:tcPr>
            <w:tcW w:w="513" w:type="pct"/>
            <w:noWrap w:val="0"/>
            <w:vAlign w:val="center"/>
          </w:tcPr>
          <w:p w14:paraId="2E07E8B9">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kern w:val="2"/>
                <w:sz w:val="24"/>
                <w:szCs w:val="24"/>
                <w:lang w:val="en-US" w:eastAsia="zh-CN" w:bidi="ar-SA"/>
              </w:rPr>
            </w:pPr>
            <w:r>
              <w:rPr>
                <w:rFonts w:hint="eastAsia" w:ascii="宋体" w:hAnsi="宋体" w:eastAsia="仿宋_GB2312" w:cs="仿宋_GB2312"/>
                <w:sz w:val="24"/>
                <w:szCs w:val="24"/>
                <w:lang w:val="en-US" w:eastAsia="zh-CN"/>
              </w:rPr>
              <w:t>10</w:t>
            </w:r>
          </w:p>
        </w:tc>
      </w:tr>
    </w:tbl>
    <w:p w14:paraId="47FDFCE2"/>
    <w:p w14:paraId="470F7332"/>
    <w:sectPr>
      <w:pgSz w:w="16838" w:h="11906" w:orient="landscape"/>
      <w:pgMar w:top="1633" w:right="1440" w:bottom="1633"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07C644B"/>
    <w:rsid w:val="207C64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0"/>
      <w:jc w:val="both"/>
    </w:pPr>
    <w:rPr>
      <w:rFonts w:ascii="Calibri" w:hAnsi="Calibri" w:eastAsia="宋体" w:cs="Times New Roman"/>
      <w:kern w:val="2"/>
      <w:sz w:val="21"/>
      <w:szCs w:val="24"/>
      <w:lang w:val="en-US" w:eastAsia="zh-CN" w:bidi="ar-SA"/>
    </w:rPr>
  </w:style>
  <w:style w:type="paragraph" w:styleId="2">
    <w:name w:val="heading 2"/>
    <w:basedOn w:val="1"/>
    <w:next w:val="1"/>
    <w:unhideWhenUsed/>
    <w:qFormat/>
    <w:uiPriority w:val="0"/>
    <w:pPr>
      <w:keepNext w:val="0"/>
      <w:keepLines/>
      <w:adjustRightInd/>
      <w:snapToGrid/>
      <w:spacing w:line="360" w:lineRule="auto"/>
      <w:ind w:firstLine="883" w:firstLineChars="200"/>
      <w:outlineLvl w:val="1"/>
    </w:pPr>
    <w:rPr>
      <w:rFonts w:ascii="Times New Roman" w:hAnsi="Times New Roman" w:eastAsia="黑体" w:cs="Times New Roman"/>
      <w:sz w:val="32"/>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1</TotalTime>
  <ScaleCrop>false</ScaleCrop>
  <LinksUpToDate>false</LinksUpToDate>
  <CharactersWithSpaces>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2025-11-19T07:17:00Z</dcterms:created>
  <dc:creator>科技局</dc:creator>
  <cp:lastModifiedBy>科技局</cp:lastModifiedBy>
  <dcterms:modified xsi:type="dcterms:W3CDTF">2025-11-19T07:20:09Z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F44931E3A55B4D4A9345FE0FC1345CBA_11</vt:lpwstr>
  </property>
  <property fmtid="{D5CDD505-2E9C-101B-9397-08002B2CF9AE}" pid="4" name="KSOTemplateDocerSaveRecord">
    <vt:lpwstr>eyJoZGlkIjoiYzNmN2ZhZDg3OGUwYjFhZDkzYjI3MjhmNTU2NjdkZTciLCJ1c2VySWQiOiI3MTcwNzg1NjgifQ==</vt:lpwstr>
  </property>
</Properties>
</file>